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600" w:lineRule="exact"/>
        <w:textAlignment w:val="auto"/>
        <w:rPr>
          <w:rFonts w:hint="eastAsia"/>
        </w:rPr>
      </w:pPr>
    </w:p>
    <w:p>
      <w:pPr>
        <w:pStyle w:val="2"/>
        <w:keepNext w:val="0"/>
        <w:keepLines w:val="0"/>
        <w:pageBreakBefore w:val="0"/>
        <w:kinsoku/>
        <w:overflowPunct/>
        <w:topLinePunct w:val="0"/>
        <w:autoSpaceDE/>
        <w:autoSpaceDN/>
        <w:bidi w:val="0"/>
        <w:spacing w:line="60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w:t>
      </w:r>
      <w:r>
        <w:rPr>
          <w:rFonts w:hint="eastAsia" w:ascii="方正小标宋简体" w:hAnsi="方正小标宋简体" w:eastAsia="方正小标宋简体" w:cs="方正小标宋简体"/>
          <w:sz w:val="44"/>
          <w:szCs w:val="44"/>
          <w:lang w:val="en-US" w:eastAsia="zh-CN"/>
        </w:rPr>
        <w:t>民族事务委员会</w:t>
      </w:r>
      <w:r>
        <w:rPr>
          <w:rFonts w:hint="eastAsia" w:ascii="方正小标宋简体" w:hAnsi="方正小标宋简体" w:eastAsia="方正小标宋简体" w:cs="方正小标宋简体"/>
          <w:sz w:val="44"/>
          <w:szCs w:val="44"/>
        </w:rPr>
        <w:t>2023年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度报告根据《中华人民共和国政府信息公开条例》《国务院办公厅政府信息与政务公开办公室关于印发&lt;中华人民共和国政府信息公开工作年度报告格式&gt;的通知》（国办公开办函〔2021〕30号）要求制作。本年度报告电子版可以从自治区民族事务委员会门户网站（http://mw.nmg.gov.cn/）下载。如对本年度报告有疑问，请与自治区民委办公室联系（电话：0471-6945135，电子邮箱：nmgmwxx@163.com ）。 </w:t>
      </w:r>
    </w:p>
    <w:p>
      <w:pPr>
        <w:keepNext w:val="0"/>
        <w:keepLines w:val="0"/>
        <w:pageBreakBefore w:val="0"/>
        <w:tabs>
          <w:tab w:val="left" w:pos="6087"/>
        </w:tabs>
        <w:kinsoku/>
        <w:overflowPunct/>
        <w:topLinePunct w:val="0"/>
        <w:autoSpaceDE/>
        <w:autoSpaceDN/>
        <w:bidi w:val="0"/>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年自治区民委以习近平新时代中国特色社会主义思想为指导，全面贯彻落实党的二十大精神和中央、自治区党委民族工作会议精神，</w:t>
      </w:r>
      <w:r>
        <w:rPr>
          <w:rFonts w:hint="eastAsia" w:ascii="仿宋" w:hAnsi="仿宋" w:eastAsia="仿宋" w:cs="仿宋"/>
          <w:sz w:val="32"/>
          <w:szCs w:val="32"/>
          <w:lang w:val="en-US" w:eastAsia="zh-CN"/>
        </w:rPr>
        <w:t>完整准确全面把握和</w:t>
      </w:r>
      <w:r>
        <w:rPr>
          <w:rFonts w:hint="eastAsia" w:ascii="仿宋" w:hAnsi="仿宋" w:eastAsia="仿宋" w:cs="仿宋"/>
          <w:sz w:val="32"/>
          <w:szCs w:val="32"/>
        </w:rPr>
        <w:t>贯彻落实习近平总书记关于加强和改进民族工作的重要思想，以铸牢中华民族共同体意识为主线，认真抓细抓实政府信息公开各项工作，</w:t>
      </w:r>
      <w:r>
        <w:rPr>
          <w:rFonts w:hint="eastAsia" w:ascii="仿宋" w:hAnsi="仿宋" w:eastAsia="仿宋" w:cs="仿宋"/>
          <w:sz w:val="32"/>
          <w:szCs w:val="32"/>
          <w:lang w:val="en-US" w:eastAsia="zh-CN"/>
        </w:rPr>
        <w:t>取得了积极成效，为全方位建设模范自治区贡献力量</w:t>
      </w:r>
      <w:r>
        <w:rPr>
          <w:rFonts w:hint="eastAsia" w:ascii="仿宋" w:hAnsi="仿宋" w:eastAsia="仿宋" w:cs="仿宋"/>
          <w:sz w:val="32"/>
          <w:szCs w:val="32"/>
        </w:rPr>
        <w:t>。</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主动公开情况。</w:t>
      </w:r>
      <w:r>
        <w:rPr>
          <w:rFonts w:hint="eastAsia" w:ascii="仿宋" w:hAnsi="仿宋" w:eastAsia="仿宋" w:cs="仿宋"/>
          <w:sz w:val="32"/>
          <w:szCs w:val="32"/>
          <w:lang w:val="en-US" w:eastAsia="zh-CN"/>
        </w:rPr>
        <w:t>通过内蒙古自治区民族事务委员会门户网站发布各类信息811条，</w:t>
      </w:r>
      <w:r>
        <w:rPr>
          <w:rFonts w:hint="eastAsia" w:ascii="仿宋" w:hAnsi="仿宋" w:eastAsia="仿宋" w:cs="仿宋"/>
          <w:sz w:val="32"/>
          <w:szCs w:val="32"/>
        </w:rPr>
        <w:t>其中，概况类信息</w:t>
      </w:r>
      <w:r>
        <w:rPr>
          <w:rFonts w:hint="eastAsia" w:ascii="仿宋" w:hAnsi="仿宋" w:eastAsia="仿宋" w:cs="仿宋"/>
          <w:sz w:val="32"/>
          <w:szCs w:val="32"/>
          <w:lang w:val="en-US" w:eastAsia="zh-CN"/>
        </w:rPr>
        <w:t>32</w:t>
      </w:r>
      <w:r>
        <w:rPr>
          <w:rFonts w:hint="eastAsia" w:ascii="仿宋" w:hAnsi="仿宋" w:eastAsia="仿宋" w:cs="仿宋"/>
          <w:sz w:val="32"/>
          <w:szCs w:val="32"/>
        </w:rPr>
        <w:t>条、政务动态信息6</w:t>
      </w:r>
      <w:r>
        <w:rPr>
          <w:rFonts w:hint="eastAsia" w:ascii="仿宋" w:hAnsi="仿宋" w:eastAsia="仿宋" w:cs="仿宋"/>
          <w:sz w:val="32"/>
          <w:szCs w:val="32"/>
          <w:lang w:val="en-US" w:eastAsia="zh-CN"/>
        </w:rPr>
        <w:t>75</w:t>
      </w:r>
      <w:r>
        <w:rPr>
          <w:rFonts w:hint="eastAsia" w:ascii="仿宋" w:hAnsi="仿宋" w:eastAsia="仿宋" w:cs="仿宋"/>
          <w:sz w:val="32"/>
          <w:szCs w:val="32"/>
        </w:rPr>
        <w:t>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信息公开目录信息104条。全年公开各类文件9件，其中行政规范性文件4件，部门文件1件，政策文件4件，发布政策解读18条，</w:t>
      </w:r>
      <w:r>
        <w:rPr>
          <w:rFonts w:hint="eastAsia" w:ascii="仿宋" w:hAnsi="仿宋" w:eastAsia="仿宋" w:cs="仿宋"/>
          <w:sz w:val="32"/>
          <w:szCs w:val="32"/>
        </w:rPr>
        <w:t>“在线访谈”</w:t>
      </w:r>
      <w:r>
        <w:rPr>
          <w:rFonts w:hint="eastAsia" w:ascii="仿宋" w:hAnsi="仿宋" w:eastAsia="仿宋" w:cs="仿宋"/>
          <w:sz w:val="32"/>
          <w:szCs w:val="32"/>
          <w:lang w:val="en-US" w:eastAsia="zh-CN"/>
        </w:rPr>
        <w:t>3</w:t>
      </w:r>
      <w:r>
        <w:rPr>
          <w:rFonts w:hint="eastAsia" w:ascii="仿宋" w:hAnsi="仿宋" w:eastAsia="仿宋" w:cs="仿宋"/>
          <w:sz w:val="32"/>
          <w:szCs w:val="32"/>
        </w:rPr>
        <w:t>期。</w:t>
      </w:r>
      <w:r>
        <w:rPr>
          <w:rFonts w:hint="eastAsia" w:ascii="仿宋" w:hAnsi="仿宋" w:eastAsia="仿宋" w:cs="仿宋"/>
          <w:sz w:val="32"/>
          <w:szCs w:val="32"/>
          <w:lang w:val="en-US" w:eastAsia="zh-CN"/>
        </w:rPr>
        <w:t>内蒙古自治区民族事务委员会微信公众号发布信息1074条。召开新闻发布会2次。</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（二）依申请公开情况。</w:t>
      </w:r>
      <w:r>
        <w:rPr>
          <w:rFonts w:hint="eastAsia" w:ascii="仿宋" w:hAnsi="仿宋" w:eastAsia="仿宋" w:cs="仿宋"/>
          <w:sz w:val="32"/>
          <w:szCs w:val="32"/>
        </w:rPr>
        <w:t>全年</w:t>
      </w:r>
      <w:r>
        <w:rPr>
          <w:rFonts w:hint="eastAsia" w:ascii="仿宋" w:hAnsi="仿宋" w:eastAsia="仿宋" w:cs="仿宋"/>
          <w:sz w:val="32"/>
          <w:szCs w:val="32"/>
          <w:lang w:val="en-US" w:eastAsia="zh-CN"/>
        </w:rPr>
        <w:t>收到依申请公开2件，其中线上1件，线下1件，</w:t>
      </w:r>
      <w:r>
        <w:rPr>
          <w:rFonts w:hint="eastAsia" w:ascii="仿宋" w:hAnsi="仿宋" w:eastAsia="仿宋" w:cs="仿宋"/>
          <w:sz w:val="32"/>
          <w:szCs w:val="32"/>
        </w:rPr>
        <w:t>收到群众</w:t>
      </w:r>
      <w:r>
        <w:rPr>
          <w:rFonts w:hint="eastAsia" w:ascii="仿宋" w:hAnsi="仿宋" w:eastAsia="仿宋" w:cs="仿宋"/>
          <w:sz w:val="32"/>
          <w:szCs w:val="32"/>
          <w:lang w:val="en-US" w:eastAsia="zh-CN"/>
        </w:rPr>
        <w:t>留言8条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全部按时回复，及时回应了群众关切。</w:t>
      </w:r>
      <w:r>
        <w:rPr>
          <w:rFonts w:hint="eastAsia" w:ascii="仿宋" w:hAnsi="仿宋" w:eastAsia="仿宋" w:cs="仿宋"/>
          <w:sz w:val="32"/>
          <w:szCs w:val="32"/>
        </w:rPr>
        <w:t>开展民意征集、在线调查</w:t>
      </w:r>
      <w:r>
        <w:rPr>
          <w:rFonts w:hint="eastAsia" w:ascii="仿宋" w:hAnsi="仿宋" w:eastAsia="仿宋" w:cs="仿宋"/>
          <w:sz w:val="32"/>
          <w:szCs w:val="32"/>
          <w:lang w:val="en-US" w:eastAsia="zh-CN"/>
        </w:rPr>
        <w:t>8</w:t>
      </w:r>
      <w:r>
        <w:rPr>
          <w:rFonts w:hint="eastAsia" w:ascii="仿宋" w:hAnsi="仿宋" w:eastAsia="仿宋" w:cs="仿宋"/>
          <w:sz w:val="32"/>
          <w:szCs w:val="32"/>
        </w:rPr>
        <w:t>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广泛征集各族群众对民族工作的意见和建议</w:t>
      </w:r>
      <w:r>
        <w:rPr>
          <w:rFonts w:hint="eastAsia" w:ascii="仿宋" w:hAnsi="仿宋" w:eastAsia="仿宋" w:cs="仿宋"/>
          <w:sz w:val="32"/>
          <w:szCs w:val="32"/>
        </w:rPr>
        <w:t>。</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（三）政府信息管理情况。</w:t>
      </w:r>
      <w:r>
        <w:rPr>
          <w:rFonts w:hint="eastAsia" w:ascii="仿宋" w:hAnsi="仿宋" w:eastAsia="仿宋" w:cs="仿宋"/>
          <w:sz w:val="32"/>
          <w:szCs w:val="32"/>
        </w:rPr>
        <w:t>严格执行政府信息公开保密审查、审批发布相关工作制度，严格信息发布审批流程，做到“发布必审”，扎实推进信息管理工作科学化标准化规范化，推动提高政府信息公开质量。</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方正楷体_GBK" w:hAnsi="方正楷体_GBK" w:eastAsia="方正楷体_GBK" w:cs="方正楷体_GBK"/>
          <w:sz w:val="32"/>
          <w:szCs w:val="32"/>
        </w:rPr>
        <w:t>（四）政府信息公开平台建设情况。</w:t>
      </w:r>
      <w:r>
        <w:rPr>
          <w:rFonts w:hint="eastAsia" w:ascii="仿宋" w:hAnsi="仿宋" w:eastAsia="仿宋" w:cs="仿宋"/>
          <w:sz w:val="32"/>
          <w:szCs w:val="32"/>
          <w:lang w:val="en-US" w:eastAsia="zh-CN"/>
        </w:rPr>
        <w:t>结合民族工作新形势、新任务和新要求</w:t>
      </w:r>
      <w:r>
        <w:rPr>
          <w:rFonts w:hint="eastAsia" w:ascii="仿宋" w:hAnsi="仿宋" w:eastAsia="仿宋" w:cs="仿宋"/>
          <w:sz w:val="32"/>
          <w:szCs w:val="32"/>
        </w:rPr>
        <w:t>，</w:t>
      </w:r>
      <w:r>
        <w:rPr>
          <w:rFonts w:hint="eastAsia" w:ascii="仿宋" w:hAnsi="仿宋" w:eastAsia="仿宋" w:cs="仿宋"/>
          <w:sz w:val="32"/>
          <w:szCs w:val="32"/>
          <w:lang w:val="en-US" w:eastAsia="zh-CN"/>
        </w:rPr>
        <w:t>不断拓宽信息公开渠道，加强微信公众号的建设，由每日推送一次改为多次推送。进一步优化门户网站，增设“委员单位工作动态”栏目，及时抓好信息更新，客观全面反映全区民族工作动态</w:t>
      </w:r>
      <w:r>
        <w:rPr>
          <w:rFonts w:hint="eastAsia" w:ascii="仿宋" w:hAnsi="仿宋" w:eastAsia="仿宋" w:cs="仿宋"/>
          <w:sz w:val="32"/>
          <w:szCs w:val="32"/>
        </w:rPr>
        <w:t>。</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default" w:ascii="仿宋" w:hAnsi="仿宋" w:eastAsia="仿宋" w:cs="仿宋"/>
          <w:sz w:val="32"/>
          <w:szCs w:val="32"/>
          <w:lang w:val="en-US" w:eastAsia="zh-CN"/>
        </w:rPr>
      </w:pPr>
      <w:r>
        <w:rPr>
          <w:rFonts w:hint="eastAsia" w:ascii="方正楷体_GBK" w:hAnsi="方正楷体_GBK" w:eastAsia="方正楷体_GBK" w:cs="方正楷体_GBK"/>
          <w:sz w:val="32"/>
          <w:szCs w:val="32"/>
        </w:rPr>
        <w:t>（五）监督保障情况。</w:t>
      </w:r>
      <w:r>
        <w:rPr>
          <w:rFonts w:hint="eastAsia" w:ascii="仿宋" w:hAnsi="仿宋" w:eastAsia="仿宋" w:cs="仿宋"/>
          <w:sz w:val="32"/>
          <w:szCs w:val="32"/>
          <w:lang w:val="en-US" w:eastAsia="zh-CN"/>
        </w:rPr>
        <w:t>强化安全意识，加强安全管理，建立门户网站安全监测预警机制，明确安全责任人，不定期组织开展应急演练。</w:t>
      </w:r>
      <w:r>
        <w:rPr>
          <w:rFonts w:hint="eastAsia" w:ascii="仿宋" w:hAnsi="仿宋" w:eastAsia="仿宋" w:cs="仿宋"/>
          <w:sz w:val="32"/>
          <w:szCs w:val="32"/>
        </w:rPr>
        <w:t>针对近年来网络安全检查中发现的突出问题、薄弱环节和潜在风险，开展网络和数据安全自查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全年开展安全评估3次。</w:t>
      </w:r>
    </w:p>
    <w:p>
      <w:pPr>
        <w:keepNext w:val="0"/>
        <w:keepLines w:val="0"/>
        <w:pageBreakBefore w:val="0"/>
        <w:tabs>
          <w:tab w:val="left" w:pos="6087"/>
        </w:tabs>
        <w:kinsoku/>
        <w:overflowPunct/>
        <w:topLinePunct w:val="0"/>
        <w:autoSpaceDE/>
        <w:autoSpaceDN/>
        <w:bidi w:val="0"/>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p>
      <w:pPr>
        <w:keepNext w:val="0"/>
        <w:keepLines w:val="0"/>
        <w:pageBreakBefore w:val="0"/>
        <w:widowControl/>
        <w:suppressLineNumbers w:val="0"/>
        <w:kinsoku/>
        <w:overflowPunct/>
        <w:topLinePunct w:val="0"/>
        <w:autoSpaceDE/>
        <w:autoSpaceDN/>
        <w:bidi w:val="0"/>
        <w:spacing w:line="600" w:lineRule="exact"/>
        <w:jc w:val="left"/>
        <w:textAlignment w:val="auto"/>
      </w:pP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80"/>
        <w:gridCol w:w="1250"/>
        <w:gridCol w:w="1130"/>
        <w:gridCol w:w="15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6040" w:type="dxa"/>
            <w:gridSpan w:val="4"/>
            <w:tcBorders>
              <w:top w:val="single" w:color="000000" w:sz="4" w:space="0"/>
              <w:left w:val="single" w:color="000000" w:sz="4" w:space="0"/>
              <w:bottom w:val="single" w:color="000000" w:sz="4" w:space="0"/>
              <w:right w:val="single" w:color="000000" w:sz="4" w:space="0"/>
            </w:tcBorders>
            <w:shd w:val="clear" w:color="auto" w:fill="95B3D7"/>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ascii="微软雅黑" w:hAnsi="微软雅黑" w:eastAsia="微软雅黑" w:cs="微软雅黑"/>
              </w:rPr>
            </w:pPr>
            <w:r>
              <w:rPr>
                <w:rFonts w:ascii="仿宋_GB2312" w:hAnsi="微软雅黑" w:eastAsia="仿宋_GB2312" w:cs="仿宋_GB2312"/>
                <w:sz w:val="14"/>
                <w:szCs w:val="14"/>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2080" w:type="dxa"/>
            <w:tcBorders>
              <w:top w:val="nil"/>
              <w:left w:val="single" w:color="000000" w:sz="4" w:space="0"/>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信息内容</w:t>
            </w:r>
          </w:p>
        </w:tc>
        <w:tc>
          <w:tcPr>
            <w:tcW w:w="1250" w:type="dxa"/>
            <w:tcBorders>
              <w:top w:val="single" w:color="000000" w:sz="4" w:space="0"/>
              <w:left w:val="nil"/>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本年新制作数量</w:t>
            </w:r>
          </w:p>
        </w:tc>
        <w:tc>
          <w:tcPr>
            <w:tcW w:w="1130" w:type="dxa"/>
            <w:tcBorders>
              <w:top w:val="single" w:color="000000" w:sz="4" w:space="0"/>
              <w:left w:val="nil"/>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本年废止件数</w:t>
            </w:r>
          </w:p>
        </w:tc>
        <w:tc>
          <w:tcPr>
            <w:tcW w:w="1580" w:type="dxa"/>
            <w:tcBorders>
              <w:top w:val="nil"/>
              <w:left w:val="nil"/>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2080" w:type="dxa"/>
            <w:tcBorders>
              <w:top w:val="nil"/>
              <w:left w:val="single" w:color="000000" w:sz="4" w:space="0"/>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规章</w:t>
            </w:r>
          </w:p>
        </w:tc>
        <w:tc>
          <w:tcPr>
            <w:tcW w:w="1250" w:type="dxa"/>
            <w:tcBorders>
              <w:top w:val="nil"/>
              <w:left w:val="nil"/>
              <w:bottom w:val="single" w:color="000000" w:sz="4"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color w:val="333333"/>
                <w:sz w:val="14"/>
                <w:szCs w:val="14"/>
              </w:rPr>
              <w:t>0</w:t>
            </w:r>
          </w:p>
        </w:tc>
        <w:tc>
          <w:tcPr>
            <w:tcW w:w="1130" w:type="dxa"/>
            <w:tcBorders>
              <w:top w:val="nil"/>
              <w:left w:val="nil"/>
              <w:bottom w:val="single" w:color="000000" w:sz="4"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color w:val="333333"/>
                <w:sz w:val="14"/>
                <w:szCs w:val="14"/>
              </w:rPr>
              <w:t>0</w:t>
            </w:r>
          </w:p>
        </w:tc>
        <w:tc>
          <w:tcPr>
            <w:tcW w:w="1580" w:type="dxa"/>
            <w:tcBorders>
              <w:top w:val="nil"/>
              <w:left w:val="nil"/>
              <w:bottom w:val="single" w:color="000000" w:sz="4"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color w:val="333333"/>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2080" w:type="dxa"/>
            <w:tcBorders>
              <w:top w:val="nil"/>
              <w:left w:val="single" w:color="000000" w:sz="4" w:space="0"/>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行政规范性文件</w:t>
            </w:r>
          </w:p>
        </w:tc>
        <w:tc>
          <w:tcPr>
            <w:tcW w:w="1250" w:type="dxa"/>
            <w:tcBorders>
              <w:top w:val="nil"/>
              <w:left w:val="nil"/>
              <w:bottom w:val="single" w:color="000000" w:sz="4"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lang w:eastAsia="zh-CN"/>
              </w:rPr>
            </w:pPr>
            <w:r>
              <w:rPr>
                <w:rFonts w:hint="eastAsia" w:ascii="微软雅黑" w:hAnsi="微软雅黑" w:eastAsia="微软雅黑" w:cs="微软雅黑"/>
                <w:sz w:val="14"/>
                <w:szCs w:val="14"/>
                <w:lang w:val="en-US" w:eastAsia="zh-CN"/>
              </w:rPr>
              <w:t>3</w:t>
            </w:r>
          </w:p>
        </w:tc>
        <w:tc>
          <w:tcPr>
            <w:tcW w:w="1130" w:type="dxa"/>
            <w:tcBorders>
              <w:top w:val="nil"/>
              <w:left w:val="nil"/>
              <w:bottom w:val="single" w:color="000000" w:sz="4"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lang w:eastAsia="zh-CN"/>
              </w:rPr>
            </w:pPr>
            <w:r>
              <w:rPr>
                <w:rFonts w:hint="eastAsia" w:ascii="微软雅黑" w:hAnsi="微软雅黑" w:eastAsia="微软雅黑" w:cs="微软雅黑"/>
                <w:sz w:val="14"/>
                <w:szCs w:val="14"/>
                <w:lang w:val="en-US" w:eastAsia="zh-CN"/>
              </w:rPr>
              <w:t>2</w:t>
            </w:r>
          </w:p>
        </w:tc>
        <w:tc>
          <w:tcPr>
            <w:tcW w:w="1580" w:type="dxa"/>
            <w:tcBorders>
              <w:top w:val="nil"/>
              <w:left w:val="nil"/>
              <w:bottom w:val="single" w:color="000000" w:sz="4"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lang w:eastAsia="zh-CN"/>
              </w:rPr>
            </w:pPr>
            <w:r>
              <w:rPr>
                <w:rFonts w:hint="eastAsia" w:ascii="微软雅黑" w:hAnsi="微软雅黑" w:eastAsia="微软雅黑" w:cs="微软雅黑"/>
                <w:sz w:val="14"/>
                <w:szCs w:val="14"/>
                <w:lang w:val="en-US" w:eastAsia="zh-CN"/>
              </w:rPr>
              <w:t>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6040" w:type="dxa"/>
            <w:gridSpan w:val="4"/>
            <w:tcBorders>
              <w:top w:val="nil"/>
              <w:left w:val="single" w:color="000000" w:sz="4" w:space="0"/>
              <w:bottom w:val="single" w:color="000000" w:sz="4" w:space="0"/>
              <w:right w:val="single" w:color="000000" w:sz="4" w:space="0"/>
            </w:tcBorders>
            <w:shd w:val="clear" w:color="auto" w:fill="95B3D7"/>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2080" w:type="dxa"/>
            <w:tcBorders>
              <w:top w:val="nil"/>
              <w:left w:val="single" w:color="000000" w:sz="4" w:space="0"/>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信息内容</w:t>
            </w:r>
          </w:p>
        </w:tc>
        <w:tc>
          <w:tcPr>
            <w:tcW w:w="3970" w:type="dxa"/>
            <w:gridSpan w:val="3"/>
            <w:tcBorders>
              <w:top w:val="single" w:color="000000" w:sz="4" w:space="0"/>
              <w:left w:val="nil"/>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0" w:hRule="atLeast"/>
          <w:jc w:val="center"/>
        </w:trPr>
        <w:tc>
          <w:tcPr>
            <w:tcW w:w="2080" w:type="dxa"/>
            <w:tcBorders>
              <w:top w:val="nil"/>
              <w:left w:val="single" w:color="000000" w:sz="4" w:space="0"/>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行政许可</w:t>
            </w:r>
          </w:p>
        </w:tc>
        <w:tc>
          <w:tcPr>
            <w:tcW w:w="3970" w:type="dxa"/>
            <w:gridSpan w:val="3"/>
            <w:tcBorders>
              <w:top w:val="nil"/>
              <w:left w:val="nil"/>
              <w:bottom w:val="single" w:color="000000" w:sz="4"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color w:val="333333"/>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6040" w:type="dxa"/>
            <w:gridSpan w:val="4"/>
            <w:tcBorders>
              <w:top w:val="single" w:color="000000" w:sz="4" w:space="0"/>
              <w:left w:val="single" w:color="000000" w:sz="4" w:space="0"/>
              <w:bottom w:val="single" w:color="000000" w:sz="4" w:space="0"/>
              <w:right w:val="single" w:color="000000" w:sz="4" w:space="0"/>
            </w:tcBorders>
            <w:shd w:val="clear" w:color="auto" w:fill="95B3D7"/>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2080" w:type="dxa"/>
            <w:tcBorders>
              <w:top w:val="nil"/>
              <w:left w:val="single" w:color="000000" w:sz="4" w:space="0"/>
              <w:bottom w:val="outset" w:color="auto" w:sz="6"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信息内容</w:t>
            </w:r>
          </w:p>
        </w:tc>
        <w:tc>
          <w:tcPr>
            <w:tcW w:w="3970" w:type="dxa"/>
            <w:gridSpan w:val="3"/>
            <w:tcBorders>
              <w:top w:val="outset" w:color="auto" w:sz="6" w:space="0"/>
              <w:left w:val="nil"/>
              <w:bottom w:val="outset" w:color="auto" w:sz="6" w:space="0"/>
              <w:right w:val="outset" w:color="auto" w:sz="6"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2080" w:type="dxa"/>
            <w:tcBorders>
              <w:top w:val="nil"/>
              <w:left w:val="single" w:color="000000" w:sz="4" w:space="0"/>
              <w:bottom w:val="outset" w:color="auto" w:sz="6"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行政处罚</w:t>
            </w:r>
          </w:p>
        </w:tc>
        <w:tc>
          <w:tcPr>
            <w:tcW w:w="3970" w:type="dxa"/>
            <w:gridSpan w:val="3"/>
            <w:tcBorders>
              <w:top w:val="nil"/>
              <w:left w:val="nil"/>
              <w:bottom w:val="outset" w:color="auto" w:sz="6"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color w:val="333333"/>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2080" w:type="dxa"/>
            <w:tcBorders>
              <w:top w:val="nil"/>
              <w:left w:val="single" w:color="000000" w:sz="4" w:space="0"/>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行政强制</w:t>
            </w:r>
          </w:p>
        </w:tc>
        <w:tc>
          <w:tcPr>
            <w:tcW w:w="3970" w:type="dxa"/>
            <w:gridSpan w:val="3"/>
            <w:tcBorders>
              <w:top w:val="nil"/>
              <w:left w:val="nil"/>
              <w:bottom w:val="single" w:color="000000" w:sz="4"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color w:val="333333"/>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6040" w:type="dxa"/>
            <w:gridSpan w:val="4"/>
            <w:tcBorders>
              <w:top w:val="nil"/>
              <w:left w:val="single" w:color="000000" w:sz="4" w:space="0"/>
              <w:bottom w:val="single" w:color="000000" w:sz="4" w:space="0"/>
              <w:right w:val="single" w:color="000000" w:sz="4" w:space="0"/>
            </w:tcBorders>
            <w:shd w:val="clear" w:color="auto" w:fill="95B3D7"/>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2080" w:type="dxa"/>
            <w:tcBorders>
              <w:top w:val="nil"/>
              <w:left w:val="single" w:color="000000" w:sz="4" w:space="0"/>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信息内容</w:t>
            </w:r>
          </w:p>
        </w:tc>
        <w:tc>
          <w:tcPr>
            <w:tcW w:w="3970" w:type="dxa"/>
            <w:gridSpan w:val="3"/>
            <w:tcBorders>
              <w:top w:val="nil"/>
              <w:left w:val="nil"/>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0" w:hRule="atLeast"/>
          <w:jc w:val="center"/>
        </w:trPr>
        <w:tc>
          <w:tcPr>
            <w:tcW w:w="2080" w:type="dxa"/>
            <w:tcBorders>
              <w:top w:val="nil"/>
              <w:left w:val="single" w:color="000000" w:sz="4" w:space="0"/>
              <w:bottom w:val="single" w:color="000000" w:sz="4" w:space="0"/>
              <w:right w:val="single" w:color="000000" w:sz="4" w:space="0"/>
            </w:tcBorders>
            <w:shd w:val="clear" w:color="auto" w:fill="DBE5F1"/>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sz w:val="14"/>
                <w:szCs w:val="14"/>
              </w:rPr>
              <w:t>行政事业性收费</w:t>
            </w:r>
          </w:p>
        </w:tc>
        <w:tc>
          <w:tcPr>
            <w:tcW w:w="3970" w:type="dxa"/>
            <w:gridSpan w:val="3"/>
            <w:tcBorders>
              <w:top w:val="nil"/>
              <w:left w:val="nil"/>
              <w:bottom w:val="single" w:color="000000" w:sz="4" w:space="0"/>
              <w:right w:val="single" w:color="000000" w:sz="4" w:space="0"/>
            </w:tcBorders>
            <w:shd w:val="clear" w:color="auto" w:fill="auto"/>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color w:val="333333"/>
                <w:sz w:val="14"/>
                <w:szCs w:val="14"/>
              </w:rPr>
              <w:t>-</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firstLine="420"/>
        <w:jc w:val="both"/>
        <w:textAlignment w:val="auto"/>
        <w:rPr>
          <w:rFonts w:hint="eastAsia" w:ascii="微软雅黑" w:hAnsi="微软雅黑" w:eastAsia="微软雅黑" w:cs="微软雅黑"/>
        </w:rPr>
      </w:pPr>
    </w:p>
    <w:p>
      <w:pPr>
        <w:pStyle w:val="2"/>
        <w:keepNext w:val="0"/>
        <w:keepLines w:val="0"/>
        <w:pageBreakBefore w:val="0"/>
        <w:kinsoku/>
        <w:overflowPunct/>
        <w:topLinePunct w:val="0"/>
        <w:autoSpaceDE/>
        <w:autoSpaceDN/>
        <w:bidi w:val="0"/>
        <w:spacing w:line="600" w:lineRule="exact"/>
        <w:ind w:firstLine="640" w:firstLineChars="200"/>
        <w:jc w:val="both"/>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三、收到和处理政府信息公开申请情况</w:t>
      </w:r>
    </w:p>
    <w:p>
      <w:pPr>
        <w:keepNext w:val="0"/>
        <w:keepLines w:val="0"/>
        <w:pageBreakBefore w:val="0"/>
        <w:widowControl/>
        <w:suppressLineNumbers w:val="0"/>
        <w:kinsoku/>
        <w:overflowPunct/>
        <w:topLinePunct w:val="0"/>
        <w:autoSpaceDE/>
        <w:autoSpaceDN/>
        <w:bidi w:val="0"/>
        <w:spacing w:line="600" w:lineRule="exact"/>
        <w:jc w:val="left"/>
        <w:textAlignment w:val="auto"/>
      </w:pP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93"/>
        <w:gridCol w:w="1183"/>
        <w:gridCol w:w="1575"/>
        <w:gridCol w:w="654"/>
        <w:gridCol w:w="654"/>
        <w:gridCol w:w="654"/>
        <w:gridCol w:w="654"/>
        <w:gridCol w:w="654"/>
        <w:gridCol w:w="670"/>
        <w:gridCol w:w="94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7" w:hRule="atLeast"/>
        </w:trPr>
        <w:tc>
          <w:tcPr>
            <w:tcW w:w="355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ascii="微软雅黑" w:hAnsi="微软雅黑" w:eastAsia="微软雅黑" w:cs="微软雅黑"/>
              </w:rPr>
            </w:pPr>
            <w:r>
              <w:rPr>
                <w:rFonts w:ascii="仿宋_GB2312" w:hAnsi="微软雅黑" w:eastAsia="仿宋_GB2312" w:cs="仿宋_GB2312"/>
                <w:i w:val="0"/>
                <w:caps w:val="0"/>
                <w:color w:val="333333"/>
                <w:spacing w:val="0"/>
                <w:sz w:val="14"/>
                <w:szCs w:val="14"/>
              </w:rPr>
              <w:t>（本列数据的勾稽关系为：第一项加第二项之和，等于第三项加第四项之和）</w:t>
            </w:r>
          </w:p>
        </w:tc>
        <w:tc>
          <w:tcPr>
            <w:tcW w:w="4888" w:type="dxa"/>
            <w:gridSpan w:val="7"/>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trPr>
        <w:tc>
          <w:tcPr>
            <w:tcW w:w="35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654" w:type="dxa"/>
            <w:vMerge w:val="restart"/>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自然人</w:t>
            </w:r>
          </w:p>
        </w:tc>
        <w:tc>
          <w:tcPr>
            <w:tcW w:w="3286" w:type="dxa"/>
            <w:gridSpan w:val="5"/>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法人或其他组织</w:t>
            </w:r>
          </w:p>
        </w:tc>
        <w:tc>
          <w:tcPr>
            <w:tcW w:w="948" w:type="dxa"/>
            <w:vMerge w:val="restart"/>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5" w:hRule="atLeast"/>
        </w:trPr>
        <w:tc>
          <w:tcPr>
            <w:tcW w:w="355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654"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商业企业</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科研机构</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社会公益组织</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法律服务机构</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其他</w:t>
            </w:r>
          </w:p>
        </w:tc>
        <w:tc>
          <w:tcPr>
            <w:tcW w:w="948"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2" w:hRule="atLeast"/>
        </w:trPr>
        <w:tc>
          <w:tcPr>
            <w:tcW w:w="3551" w:type="dxa"/>
            <w:gridSpan w:val="3"/>
            <w:tcBorders>
              <w:top w:val="nil"/>
              <w:left w:val="single" w:color="000000" w:sz="4" w:space="0"/>
              <w:bottom w:val="outset" w:color="auto" w:sz="6"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一、本年新收政府信息公开申请数量</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lang w:eastAsia="zh-CN"/>
              </w:rPr>
            </w:pPr>
            <w:r>
              <w:rPr>
                <w:rFonts w:hint="eastAsia" w:ascii="仿宋_GB2312" w:hAnsi="微软雅黑" w:eastAsia="仿宋_GB2312" w:cs="仿宋_GB2312"/>
                <w:i w:val="0"/>
                <w:caps w:val="0"/>
                <w:color w:val="333333"/>
                <w:spacing w:val="0"/>
                <w:sz w:val="14"/>
                <w:szCs w:val="14"/>
                <w:lang w:val="en-US" w:eastAsia="zh-CN"/>
              </w:rPr>
              <w:t>2</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lang w:eastAsia="zh-CN"/>
              </w:rPr>
            </w:pPr>
            <w:r>
              <w:rPr>
                <w:rFonts w:hint="eastAsia" w:ascii="仿宋_GB2312" w:hAnsi="微软雅黑" w:eastAsia="仿宋_GB2312" w:cs="仿宋_GB2312"/>
                <w:i w:val="0"/>
                <w:caps w:val="0"/>
                <w:color w:val="333333"/>
                <w:spacing w:val="0"/>
                <w:sz w:val="14"/>
                <w:szCs w:val="14"/>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2" w:hRule="atLeast"/>
        </w:trPr>
        <w:tc>
          <w:tcPr>
            <w:tcW w:w="3551" w:type="dxa"/>
            <w:gridSpan w:val="3"/>
            <w:tcBorders>
              <w:top w:val="nil"/>
              <w:left w:val="single" w:color="000000" w:sz="4" w:space="0"/>
              <w:bottom w:val="outset" w:color="auto" w:sz="6"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二、上年结转政府信息公开申请数量</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trPr>
        <w:tc>
          <w:tcPr>
            <w:tcW w:w="793" w:type="dxa"/>
            <w:vMerge w:val="restart"/>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三、本年度办理结果</w:t>
            </w:r>
          </w:p>
        </w:tc>
        <w:tc>
          <w:tcPr>
            <w:tcW w:w="2758" w:type="dxa"/>
            <w:gridSpan w:val="2"/>
            <w:tcBorders>
              <w:top w:val="nil"/>
              <w:left w:val="nil"/>
              <w:bottom w:val="outset" w:color="auto" w:sz="6"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（一）予以公开</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lang w:eastAsia="zh-CN"/>
              </w:rPr>
            </w:pPr>
            <w:r>
              <w:rPr>
                <w:rFonts w:hint="eastAsia" w:ascii="仿宋_GB2312" w:hAnsi="微软雅黑" w:eastAsia="仿宋_GB2312" w:cs="仿宋_GB2312"/>
                <w:i w:val="0"/>
                <w:caps w:val="0"/>
                <w:color w:val="333333"/>
                <w:spacing w:val="0"/>
                <w:sz w:val="14"/>
                <w:szCs w:val="14"/>
                <w:lang w:val="en-US" w:eastAsia="zh-CN"/>
              </w:rPr>
              <w:t>2</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lang w:eastAsia="zh-CN"/>
              </w:rPr>
            </w:pPr>
            <w:r>
              <w:rPr>
                <w:rFonts w:hint="eastAsia" w:ascii="仿宋_GB2312" w:hAnsi="微软雅黑" w:eastAsia="仿宋_GB2312" w:cs="仿宋_GB2312"/>
                <w:i w:val="0"/>
                <w:caps w:val="0"/>
                <w:color w:val="333333"/>
                <w:spacing w:val="0"/>
                <w:sz w:val="14"/>
                <w:szCs w:val="14"/>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2758" w:type="dxa"/>
            <w:gridSpan w:val="2"/>
            <w:tcBorders>
              <w:top w:val="nil"/>
              <w:left w:val="nil"/>
              <w:bottom w:val="outset" w:color="auto" w:sz="6"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（二）部分公开（区分处理的，只计这一情形，不计其他情形）</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restart"/>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（三）不予公开</w:t>
            </w: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1.属于国家秘密</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2.其他法律行政法规禁止公开</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3.危及“三安全一稳定”</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4.保护第三方合法权益</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5.属于三类内部事务信息</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6.属于四类过程性信息</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7.属于行政执法案卷</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8.属于行政查询事项</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restart"/>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（四）无法提供</w:t>
            </w: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1.本机关不掌握相关政府信息</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2.没有现成信息需要另行制作</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3.补正后申请内容仍不明确</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restart"/>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（五）不予处理</w:t>
            </w: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1.信访举报投诉类申请</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2.重复申请</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3.要求提供公开出版物</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9"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4.无正当理由大量反复申请</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5"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5.要求行政机关确认或重新出具已获取信息</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02"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restart"/>
            <w:tcBorders>
              <w:top w:val="nil"/>
              <w:left w:val="nil"/>
              <w:bottom w:val="outset" w:color="auto" w:sz="6"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（六）其他处理</w:t>
            </w:r>
          </w:p>
        </w:tc>
        <w:tc>
          <w:tcPr>
            <w:tcW w:w="1575" w:type="dxa"/>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1.申请人无正当理由逾期不补正、行政机关不再处理其政府信息公开申请</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95"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nil"/>
              <w:left w:val="nil"/>
              <w:bottom w:val="outset" w:color="auto" w:sz="6"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2.申请人逾期未按收费通知要求缴纳费用、行政机关不再处理其政府信息公开申请</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183" w:type="dxa"/>
            <w:vMerge w:val="continue"/>
            <w:tcBorders>
              <w:top w:val="nil"/>
              <w:left w:val="nil"/>
              <w:bottom w:val="outset" w:color="auto" w:sz="6"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1575" w:type="dxa"/>
            <w:tcBorders>
              <w:top w:val="outset" w:color="auto" w:sz="6" w:space="0"/>
              <w:left w:val="nil"/>
              <w:bottom w:val="outset" w:color="auto" w:sz="6" w:space="0"/>
              <w:right w:val="outset" w:color="auto" w:sz="6"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3.其他</w:t>
            </w:r>
          </w:p>
        </w:tc>
        <w:tc>
          <w:tcPr>
            <w:tcW w:w="654" w:type="dxa"/>
            <w:tcBorders>
              <w:top w:val="nil"/>
              <w:left w:val="nil"/>
              <w:bottom w:val="outset" w:color="auto" w:sz="6"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trPr>
        <w:tc>
          <w:tcPr>
            <w:tcW w:w="793"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2758" w:type="dxa"/>
            <w:gridSpan w:val="2"/>
            <w:tcBorders>
              <w:top w:val="nil"/>
              <w:left w:val="nil"/>
              <w:bottom w:val="outset" w:color="auto" w:sz="6"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（七）总计</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lang w:eastAsia="zh-CN"/>
              </w:rPr>
            </w:pPr>
            <w:r>
              <w:rPr>
                <w:rFonts w:hint="eastAsia" w:ascii="仿宋_GB2312" w:hAnsi="微软雅黑" w:eastAsia="仿宋_GB2312" w:cs="仿宋_GB2312"/>
                <w:i w:val="0"/>
                <w:caps w:val="0"/>
                <w:color w:val="333333"/>
                <w:spacing w:val="0"/>
                <w:sz w:val="14"/>
                <w:szCs w:val="14"/>
                <w:lang w:val="en-US" w:eastAsia="zh-CN"/>
              </w:rPr>
              <w:t>2</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lang w:eastAsia="zh-CN"/>
              </w:rPr>
            </w:pPr>
            <w:r>
              <w:rPr>
                <w:rFonts w:hint="eastAsia" w:ascii="仿宋_GB2312" w:hAnsi="微软雅黑" w:eastAsia="仿宋_GB2312" w:cs="仿宋_GB2312"/>
                <w:i w:val="0"/>
                <w:caps w:val="0"/>
                <w:color w:val="333333"/>
                <w:spacing w:val="0"/>
                <w:sz w:val="14"/>
                <w:szCs w:val="14"/>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7" w:hRule="atLeast"/>
        </w:trPr>
        <w:tc>
          <w:tcPr>
            <w:tcW w:w="3551" w:type="dxa"/>
            <w:gridSpan w:val="3"/>
            <w:tcBorders>
              <w:top w:val="nil"/>
              <w:left w:val="single" w:color="000000" w:sz="4" w:space="0"/>
              <w:bottom w:val="outset" w:color="auto" w:sz="6"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四、结转下年度继续办理</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54"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670"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94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bl>
    <w:p>
      <w:pPr>
        <w:keepNext w:val="0"/>
        <w:keepLines w:val="0"/>
        <w:pageBreakBefore w:val="0"/>
        <w:widowControl/>
        <w:suppressLineNumbers w:val="0"/>
        <w:kinsoku/>
        <w:overflowPunct/>
        <w:topLinePunct w:val="0"/>
        <w:autoSpaceDE/>
        <w:autoSpaceDN/>
        <w:bidi w:val="0"/>
        <w:spacing w:line="600" w:lineRule="exact"/>
        <w:jc w:val="left"/>
        <w:textAlignment w:val="auto"/>
      </w:pPr>
    </w:p>
    <w:p>
      <w:pPr>
        <w:keepNext w:val="0"/>
        <w:keepLines w:val="0"/>
        <w:pageBreakBefore w:val="0"/>
        <w:kinsoku/>
        <w:overflowPunct/>
        <w:topLinePunct w:val="0"/>
        <w:autoSpaceDE/>
        <w:autoSpaceDN/>
        <w:bidi w:val="0"/>
        <w:spacing w:line="600" w:lineRule="exact"/>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四、政府信息公开行政复议、行政诉讼情况</w:t>
      </w:r>
    </w:p>
    <w:tbl>
      <w:tblPr>
        <w:tblStyle w:val="6"/>
        <w:tblW w:w="871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81"/>
        <w:gridCol w:w="581"/>
        <w:gridCol w:w="581"/>
        <w:gridCol w:w="581"/>
        <w:gridCol w:w="628"/>
        <w:gridCol w:w="526"/>
        <w:gridCol w:w="581"/>
        <w:gridCol w:w="581"/>
        <w:gridCol w:w="581"/>
        <w:gridCol w:w="587"/>
        <w:gridCol w:w="581"/>
        <w:gridCol w:w="581"/>
        <w:gridCol w:w="581"/>
        <w:gridCol w:w="581"/>
        <w:gridCol w:w="58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ascii="微软雅黑" w:hAnsi="微软雅黑" w:eastAsia="微软雅黑" w:cs="微软雅黑"/>
              </w:rPr>
            </w:pPr>
            <w:r>
              <w:rPr>
                <w:rFonts w:hint="eastAsia" w:ascii="宋体" w:hAnsi="宋体" w:eastAsia="宋体" w:cs="宋体"/>
                <w:i w:val="0"/>
                <w:caps w:val="0"/>
                <w:color w:val="000000"/>
                <w:spacing w:val="0"/>
                <w:sz w:val="13"/>
                <w:szCs w:val="13"/>
              </w:rPr>
              <w:t>行政复议</w:t>
            </w:r>
          </w:p>
        </w:tc>
        <w:tc>
          <w:tcPr>
            <w:tcW w:w="5767" w:type="dxa"/>
            <w:gridSpan w:val="10"/>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1" w:hRule="atLeast"/>
          <w:jc w:val="center"/>
        </w:trPr>
        <w:tc>
          <w:tcPr>
            <w:tcW w:w="581" w:type="dxa"/>
            <w:vMerge w:val="restart"/>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结果维持</w:t>
            </w:r>
          </w:p>
        </w:tc>
        <w:tc>
          <w:tcPr>
            <w:tcW w:w="581" w:type="dxa"/>
            <w:vMerge w:val="restart"/>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结果纠正</w:t>
            </w:r>
          </w:p>
        </w:tc>
        <w:tc>
          <w:tcPr>
            <w:tcW w:w="581" w:type="dxa"/>
            <w:vMerge w:val="restart"/>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其他结果</w:t>
            </w:r>
          </w:p>
        </w:tc>
        <w:tc>
          <w:tcPr>
            <w:tcW w:w="581" w:type="dxa"/>
            <w:vMerge w:val="restart"/>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尚未审结</w:t>
            </w:r>
          </w:p>
        </w:tc>
        <w:tc>
          <w:tcPr>
            <w:tcW w:w="628" w:type="dxa"/>
            <w:vMerge w:val="restart"/>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总计</w:t>
            </w:r>
          </w:p>
        </w:tc>
        <w:tc>
          <w:tcPr>
            <w:tcW w:w="2856" w:type="dxa"/>
            <w:gridSpan w:val="5"/>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未经复议直接起诉</w:t>
            </w:r>
          </w:p>
        </w:tc>
        <w:tc>
          <w:tcPr>
            <w:tcW w:w="2911" w:type="dxa"/>
            <w:gridSpan w:val="5"/>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71" w:hRule="atLeast"/>
          <w:jc w:val="center"/>
        </w:trPr>
        <w:tc>
          <w:tcPr>
            <w:tcW w:w="581" w:type="dxa"/>
            <w:vMerge w:val="continue"/>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581" w:type="dxa"/>
            <w:vMerge w:val="continue"/>
            <w:tcBorders>
              <w:top w:val="nil"/>
              <w:left w:val="nil"/>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581" w:type="dxa"/>
            <w:vMerge w:val="continue"/>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581" w:type="dxa"/>
            <w:vMerge w:val="continue"/>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628" w:type="dxa"/>
            <w:vMerge w:val="continue"/>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keepNext w:val="0"/>
              <w:keepLines w:val="0"/>
              <w:pageBreakBefore w:val="0"/>
              <w:kinsoku/>
              <w:overflowPunct/>
              <w:topLinePunct w:val="0"/>
              <w:autoSpaceDE/>
              <w:autoSpaceDN/>
              <w:bidi w:val="0"/>
              <w:spacing w:line="600" w:lineRule="exact"/>
              <w:jc w:val="both"/>
              <w:textAlignment w:val="auto"/>
              <w:rPr>
                <w:rFonts w:hint="eastAsia" w:ascii="微软雅黑" w:hAnsi="微软雅黑" w:eastAsia="微软雅黑" w:cs="微软雅黑"/>
                <w:i w:val="0"/>
                <w:caps w:val="0"/>
                <w:color w:val="000000"/>
                <w:spacing w:val="0"/>
                <w:sz w:val="27"/>
                <w:szCs w:val="27"/>
              </w:rPr>
            </w:pPr>
          </w:p>
        </w:tc>
        <w:tc>
          <w:tcPr>
            <w:tcW w:w="526"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结果维持</w:t>
            </w:r>
          </w:p>
        </w:tc>
        <w:tc>
          <w:tcPr>
            <w:tcW w:w="581"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结果纠正</w:t>
            </w:r>
          </w:p>
        </w:tc>
        <w:tc>
          <w:tcPr>
            <w:tcW w:w="581"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其他结果</w:t>
            </w:r>
          </w:p>
        </w:tc>
        <w:tc>
          <w:tcPr>
            <w:tcW w:w="581"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尚未审结</w:t>
            </w:r>
          </w:p>
        </w:tc>
        <w:tc>
          <w:tcPr>
            <w:tcW w:w="587"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总计</w:t>
            </w:r>
          </w:p>
        </w:tc>
        <w:tc>
          <w:tcPr>
            <w:tcW w:w="581"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结果维持</w:t>
            </w:r>
          </w:p>
        </w:tc>
        <w:tc>
          <w:tcPr>
            <w:tcW w:w="581"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结果纠正</w:t>
            </w:r>
          </w:p>
        </w:tc>
        <w:tc>
          <w:tcPr>
            <w:tcW w:w="581"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其他结果</w:t>
            </w:r>
          </w:p>
        </w:tc>
        <w:tc>
          <w:tcPr>
            <w:tcW w:w="581"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尚未审结</w:t>
            </w:r>
          </w:p>
        </w:tc>
        <w:tc>
          <w:tcPr>
            <w:tcW w:w="587"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宋体" w:hAnsi="宋体" w:eastAsia="宋体" w:cs="宋体"/>
                <w:i w:val="0"/>
                <w:caps w:val="0"/>
                <w:color w:val="000000"/>
                <w:spacing w:val="0"/>
                <w:sz w:val="13"/>
                <w:szCs w:val="13"/>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3" w:hRule="atLeast"/>
          <w:jc w:val="center"/>
        </w:trPr>
        <w:tc>
          <w:tcPr>
            <w:tcW w:w="581" w:type="dxa"/>
            <w:tcBorders>
              <w:top w:val="nil"/>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3"/>
                <w:szCs w:val="13"/>
              </w:rPr>
              <w:t>0</w:t>
            </w:r>
          </w:p>
        </w:tc>
        <w:tc>
          <w:tcPr>
            <w:tcW w:w="581"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3"/>
                <w:szCs w:val="13"/>
              </w:rPr>
              <w:t>0</w:t>
            </w:r>
          </w:p>
        </w:tc>
        <w:tc>
          <w:tcPr>
            <w:tcW w:w="581"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3"/>
                <w:szCs w:val="13"/>
              </w:rPr>
              <w:t>0</w:t>
            </w:r>
          </w:p>
        </w:tc>
        <w:tc>
          <w:tcPr>
            <w:tcW w:w="581"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3"/>
                <w:szCs w:val="13"/>
              </w:rPr>
              <w:t>0</w:t>
            </w:r>
          </w:p>
        </w:tc>
        <w:tc>
          <w:tcPr>
            <w:tcW w:w="628"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3"/>
                <w:szCs w:val="13"/>
              </w:rPr>
              <w:t>0</w:t>
            </w:r>
          </w:p>
        </w:tc>
        <w:tc>
          <w:tcPr>
            <w:tcW w:w="526"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ascii="仿宋_GB2312" w:hAnsi="微软雅黑" w:eastAsia="仿宋_GB2312" w:cs="仿宋_GB2312"/>
                <w:i w:val="0"/>
                <w:caps w:val="0"/>
                <w:color w:val="333333"/>
                <w:spacing w:val="0"/>
                <w:sz w:val="14"/>
                <w:szCs w:val="14"/>
              </w:rPr>
              <w:t>0</w:t>
            </w:r>
          </w:p>
        </w:tc>
        <w:tc>
          <w:tcPr>
            <w:tcW w:w="581"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581"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c>
          <w:tcPr>
            <w:tcW w:w="581"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3"/>
                <w:szCs w:val="13"/>
              </w:rPr>
              <w:t>0</w:t>
            </w:r>
          </w:p>
        </w:tc>
        <w:tc>
          <w:tcPr>
            <w:tcW w:w="587"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3"/>
                <w:szCs w:val="13"/>
              </w:rPr>
              <w:t>0</w:t>
            </w:r>
          </w:p>
        </w:tc>
        <w:tc>
          <w:tcPr>
            <w:tcW w:w="581"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14"/>
                <w:szCs w:val="14"/>
              </w:rPr>
              <w:t>0</w:t>
            </w:r>
          </w:p>
        </w:tc>
        <w:tc>
          <w:tcPr>
            <w:tcW w:w="581"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3"/>
                <w:szCs w:val="13"/>
              </w:rPr>
              <w:t>0</w:t>
            </w:r>
          </w:p>
        </w:tc>
        <w:tc>
          <w:tcPr>
            <w:tcW w:w="581"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3"/>
                <w:szCs w:val="13"/>
              </w:rPr>
              <w:t>0</w:t>
            </w:r>
          </w:p>
        </w:tc>
        <w:tc>
          <w:tcPr>
            <w:tcW w:w="581"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center"/>
              <w:textAlignment w:val="auto"/>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3"/>
                <w:szCs w:val="13"/>
              </w:rPr>
              <w:t>0</w:t>
            </w:r>
          </w:p>
        </w:tc>
        <w:tc>
          <w:tcPr>
            <w:tcW w:w="587" w:type="dxa"/>
            <w:tcBorders>
              <w:top w:val="nil"/>
              <w:left w:val="nil"/>
              <w:bottom w:val="single" w:color="000000" w:sz="4" w:space="0"/>
              <w:right w:val="single" w:color="000000" w:sz="4" w:space="0"/>
            </w:tcBorders>
            <w:shd w:val="clear" w:color="auto" w:fill="FFFFFF"/>
            <w:tcMar>
              <w:left w:w="70" w:type="dxa"/>
              <w:right w:w="7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600" w:lineRule="exact"/>
              <w:ind w:left="0" w:right="0"/>
              <w:jc w:val="both"/>
              <w:textAlignment w:val="auto"/>
              <w:rPr>
                <w:rFonts w:hint="eastAsia" w:ascii="微软雅黑" w:hAnsi="微软雅黑" w:eastAsia="微软雅黑" w:cs="微软雅黑"/>
              </w:rPr>
            </w:pPr>
            <w:r>
              <w:rPr>
                <w:rFonts w:hint="eastAsia" w:ascii="仿宋_GB2312" w:hAnsi="微软雅黑" w:eastAsia="仿宋_GB2312" w:cs="仿宋_GB2312"/>
                <w:i w:val="0"/>
                <w:caps w:val="0"/>
                <w:color w:val="333333"/>
                <w:spacing w:val="0"/>
                <w:sz w:val="14"/>
                <w:szCs w:val="14"/>
              </w:rPr>
              <w:t>0</w:t>
            </w:r>
          </w:p>
        </w:tc>
      </w:tr>
    </w:tbl>
    <w:p>
      <w:pPr>
        <w:keepNext w:val="0"/>
        <w:keepLines w:val="0"/>
        <w:pageBreakBefore w:val="0"/>
        <w:widowControl/>
        <w:suppressLineNumbers w:val="0"/>
        <w:kinsoku/>
        <w:overflowPunct/>
        <w:topLinePunct w:val="0"/>
        <w:autoSpaceDE/>
        <w:autoSpaceDN/>
        <w:bidi w:val="0"/>
        <w:spacing w:line="600" w:lineRule="exact"/>
        <w:jc w:val="left"/>
        <w:textAlignment w:val="auto"/>
      </w:pPr>
    </w:p>
    <w:p>
      <w:pPr>
        <w:pStyle w:val="2"/>
        <w:keepNext w:val="0"/>
        <w:keepLines w:val="0"/>
        <w:pageBreakBefore w:val="0"/>
        <w:numPr>
          <w:ilvl w:val="0"/>
          <w:numId w:val="0"/>
        </w:numPr>
        <w:kinsoku/>
        <w:overflowPunct/>
        <w:topLinePunct w:val="0"/>
        <w:autoSpaceDE/>
        <w:autoSpaceDN/>
        <w:bidi w:val="0"/>
        <w:spacing w:line="600" w:lineRule="exact"/>
        <w:ind w:firstLine="640" w:firstLineChars="200"/>
        <w:jc w:val="both"/>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五、存在的问题及改进情况</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sz w:val="32"/>
          <w:szCs w:val="32"/>
          <w:lang w:val="en-US" w:eastAsia="zh-CN"/>
        </w:rPr>
        <w:t>（一）存在的问题。</w:t>
      </w:r>
      <w:r>
        <w:rPr>
          <w:rFonts w:hint="eastAsia" w:ascii="仿宋" w:hAnsi="仿宋" w:eastAsia="仿宋" w:cs="仿宋"/>
          <w:sz w:val="32"/>
          <w:szCs w:val="32"/>
          <w:lang w:val="en-US" w:eastAsia="zh-CN"/>
        </w:rPr>
        <w:t>围绕铸牢中华民族共同体意识是民族工作的主线，是民族地区所有工作的主线，全方位建设模范自治区，建设铸牢中华民族共同体意识共同体意识示范区等，有针对性地公开相关政策还不足。</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b w:val="0"/>
          <w:kern w:val="2"/>
          <w:sz w:val="32"/>
          <w:szCs w:val="32"/>
          <w:lang w:val="en-US" w:eastAsia="zh-CN" w:bidi="ar-SA"/>
        </w:rPr>
        <w:t>（二）改进情况。</w:t>
      </w:r>
      <w:r>
        <w:rPr>
          <w:rFonts w:hint="eastAsia" w:ascii="仿宋" w:hAnsi="仿宋" w:eastAsia="仿宋" w:cs="仿宋"/>
          <w:sz w:val="32"/>
          <w:szCs w:val="32"/>
          <w:lang w:val="en-US" w:eastAsia="zh-CN"/>
        </w:rPr>
        <w:t>制发《自治区民委贯彻落实&lt;自治区2022年政务公开工作要点&gt;任务台账》的通知，就2023年政务公开重点任务进行分工，明确责任单位和完成时限，认真抓好重点领域信息公开，全年公开行政规范性文件4件，部门文件1件，政策文件4件。加大工作创新力度，进一步丰富政策解读形式，将采取MG动画形式开展政策解读纳入部门年度预算，下一步将分阶段制作相应解读视频。</w:t>
      </w:r>
    </w:p>
    <w:p>
      <w:pPr>
        <w:pStyle w:val="2"/>
        <w:keepNext w:val="0"/>
        <w:keepLines w:val="0"/>
        <w:pageBreakBefore w:val="0"/>
        <w:numPr>
          <w:ilvl w:val="0"/>
          <w:numId w:val="0"/>
        </w:numPr>
        <w:kinsoku/>
        <w:overflowPunct/>
        <w:topLinePunct w:val="0"/>
        <w:autoSpaceDE/>
        <w:autoSpaceDN/>
        <w:bidi w:val="0"/>
        <w:spacing w:line="600" w:lineRule="exact"/>
        <w:ind w:firstLine="640" w:firstLineChars="200"/>
        <w:jc w:val="both"/>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六、其他需要报告的事项</w:t>
      </w:r>
    </w:p>
    <w:p>
      <w:pPr>
        <w:keepNext w:val="0"/>
        <w:keepLines w:val="0"/>
        <w:pageBreakBefore w:val="0"/>
        <w:numPr>
          <w:ilvl w:val="0"/>
          <w:numId w:val="0"/>
        </w:numPr>
        <w:kinsoku/>
        <w:overflowPunct/>
        <w:topLinePunct w:val="0"/>
        <w:autoSpaceDE/>
        <w:autoSpaceDN/>
        <w:bidi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本年度内蒙古自治区民族事务委员会未收取政府信息公开信息处理费</w:t>
      </w:r>
      <w:bookmarkStart w:id="0" w:name="_GoBack"/>
      <w:bookmarkEnd w:id="0"/>
      <w:r>
        <w:rPr>
          <w:rFonts w:hint="eastAsia" w:ascii="仿宋" w:hAnsi="仿宋" w:eastAsia="仿宋" w:cs="仿宋"/>
          <w:sz w:val="32"/>
          <w:szCs w:val="32"/>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B52B2"/>
    <w:rsid w:val="23991CCD"/>
    <w:rsid w:val="41D430C1"/>
    <w:rsid w:val="52C6586C"/>
    <w:rsid w:val="757D8CB8"/>
    <w:rsid w:val="7B40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line="600" w:lineRule="exact"/>
      <w:jc w:val="center"/>
      <w:outlineLvl w:val="0"/>
    </w:pPr>
    <w:rPr>
      <w:rFonts w:ascii="宋体" w:hAnsi="宋体" w:eastAsia="宋体" w:cs="Times New Roman"/>
      <w:b/>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thtf</cp:lastModifiedBy>
  <dcterms:modified xsi:type="dcterms:W3CDTF">2024-01-19T13:03:45Z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