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Times New Roman" w:hAnsi="Times New Roman" w:eastAsia="黑体" w:cs="黑体"/>
          <w:b w:val="0"/>
          <w:bCs w:val="0"/>
          <w:color w:val="auto"/>
          <w:sz w:val="32"/>
          <w:szCs w:val="32"/>
          <w:lang w:val="en-US" w:eastAsia="zh-CN"/>
        </w:rPr>
      </w:pPr>
      <w:bookmarkStart w:id="0" w:name="_GoBack"/>
      <w:bookmarkEnd w:id="0"/>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CESI小标宋-GB2312" w:cs="CESI小标宋-GB2312"/>
          <w:b w:val="0"/>
          <w:bCs w:val="0"/>
          <w:color w:val="auto"/>
          <w:sz w:val="44"/>
          <w:szCs w:val="44"/>
          <w:lang w:eastAsia="zh-CN"/>
        </w:rPr>
      </w:pPr>
      <w:r>
        <w:rPr>
          <w:rFonts w:hint="eastAsia" w:ascii="Times New Roman" w:hAnsi="Times New Roman" w:eastAsia="CESI小标宋-GB2312" w:cs="CESI小标宋-GB2312"/>
          <w:b w:val="0"/>
          <w:bCs w:val="0"/>
          <w:color w:val="auto"/>
          <w:sz w:val="44"/>
          <w:szCs w:val="44"/>
          <w:lang w:eastAsia="zh-CN"/>
        </w:rPr>
        <w:t>内蒙古自治区民族事务委员会</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仿宋_GB2312" w:cs="仿宋_GB2312"/>
          <w:b w:val="0"/>
          <w:bCs w:val="0"/>
          <w:color w:val="auto"/>
          <w:sz w:val="44"/>
          <w:szCs w:val="44"/>
          <w:lang w:val="en-US" w:eastAsia="zh-CN"/>
        </w:rPr>
      </w:pPr>
      <w:r>
        <w:rPr>
          <w:rFonts w:hint="eastAsia" w:ascii="Times New Roman" w:hAnsi="Times New Roman" w:eastAsia="CESI小标宋-GB2312" w:cs="CESI小标宋-GB2312"/>
          <w:b w:val="0"/>
          <w:bCs w:val="0"/>
          <w:color w:val="auto"/>
          <w:sz w:val="44"/>
          <w:szCs w:val="44"/>
          <w:lang w:eastAsia="zh-CN"/>
        </w:rPr>
        <w:t>民族工作</w:t>
      </w:r>
      <w:r>
        <w:rPr>
          <w:rFonts w:hint="eastAsia" w:ascii="Times New Roman" w:hAnsi="Times New Roman" w:eastAsia="CESI小标宋-GB2312" w:cs="CESI小标宋-GB2312"/>
          <w:b w:val="0"/>
          <w:bCs w:val="0"/>
          <w:color w:val="auto"/>
          <w:sz w:val="44"/>
          <w:szCs w:val="44"/>
          <w:lang w:val="en-US" w:eastAsia="zh-CN"/>
        </w:rPr>
        <w:t>专家库管理办法（试行）</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仿宋_GB2312" w:cs="仿宋_GB2312"/>
          <w:b w:val="0"/>
          <w:bCs w:val="0"/>
          <w:color w:val="auto"/>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jc w:val="center"/>
        <w:textAlignment w:val="auto"/>
        <w:rPr>
          <w:rFonts w:hint="eastAsia" w:ascii="Times New Roman" w:hAnsi="Times New Roman" w:eastAsia="黑体" w:cs="黑体"/>
          <w:b w:val="0"/>
          <w:bCs w:val="0"/>
          <w:color w:val="auto"/>
          <w:sz w:val="32"/>
          <w:szCs w:val="32"/>
          <w:lang w:val="en-US" w:eastAsia="zh-CN"/>
        </w:rPr>
      </w:pPr>
      <w:r>
        <w:rPr>
          <w:rFonts w:hint="default" w:ascii="Times New Roman" w:hAnsi="Times New Roman" w:eastAsia="黑体" w:cs="黑体"/>
          <w:b w:val="0"/>
          <w:bCs w:val="0"/>
          <w:color w:val="auto"/>
          <w:sz w:val="32"/>
          <w:szCs w:val="32"/>
          <w:lang w:val="en" w:eastAsia="zh-CN"/>
        </w:rPr>
        <w:t xml:space="preserve"> </w:t>
      </w:r>
      <w:r>
        <w:rPr>
          <w:rFonts w:hint="eastAsia" w:ascii="Times New Roman" w:hAnsi="Times New Roman" w:eastAsia="黑体" w:cs="黑体"/>
          <w:b w:val="0"/>
          <w:bCs w:val="0"/>
          <w:color w:val="auto"/>
          <w:sz w:val="32"/>
          <w:szCs w:val="32"/>
          <w:lang w:val="en-US" w:eastAsia="zh-CN"/>
        </w:rPr>
        <w:t>总  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Times New Roman" w:hAnsi="Times New Roman" w:eastAsia="仿宋_GB2312" w:cs="仿宋_GB2312"/>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仿宋_GB2312"/>
          <w:b w:val="0"/>
          <w:bCs w:val="0"/>
          <w:color w:val="auto"/>
          <w:sz w:val="32"/>
          <w:szCs w:val="32"/>
          <w:lang w:val="en-US" w:eastAsia="zh-CN"/>
        </w:rPr>
      </w:pPr>
      <w:r>
        <w:rPr>
          <w:rFonts w:hint="eastAsia" w:ascii="Times New Roman" w:hAnsi="Times New Roman" w:eastAsia="楷体_GB2312" w:cs="楷体_GB2312"/>
          <w:b w:val="0"/>
          <w:bCs w:val="0"/>
          <w:color w:val="auto"/>
          <w:sz w:val="32"/>
          <w:szCs w:val="32"/>
          <w:lang w:val="en-US" w:eastAsia="zh-CN"/>
        </w:rPr>
        <w:t>第一条</w:t>
      </w:r>
      <w:r>
        <w:rPr>
          <w:rFonts w:hint="eastAsia" w:ascii="Times New Roman" w:hAnsi="Times New Roman" w:eastAsia="仿宋_GB2312" w:cs="仿宋_GB2312"/>
          <w:b w:val="0"/>
          <w:bCs w:val="0"/>
          <w:color w:val="auto"/>
          <w:sz w:val="32"/>
          <w:szCs w:val="32"/>
          <w:lang w:val="en-US" w:eastAsia="zh-CN"/>
        </w:rPr>
        <w:t xml:space="preserve"> 为深入贯彻落实习近平总书记关于加强和改进民族工作的重要思想和对内蒙古的重要指示精神,加强铸牢中华民族共同体意识理论研究，为高质量完成好习近平总书记交给内蒙古的五大任务和全方位建设模范自治区两件大事提供学理阐释和智力支撑,充分发挥民族工作领域专家学者“思想库”“智囊团”作用，更好为民族工作科学决策服务，不断提升民族事务治理体系和治理能力现代化水平，根据国家加强铸牢中华民族共同体意识理论研究体系建设有关文件，《</w:t>
      </w:r>
      <w:r>
        <w:rPr>
          <w:rFonts w:hint="eastAsia" w:ascii="Times New Roman" w:hAnsi="Times New Roman" w:eastAsia="仿宋_GB2312" w:cs="仿宋_GB2312"/>
          <w:b w:val="0"/>
          <w:bCs w:val="0"/>
          <w:snapToGrid/>
          <w:color w:val="auto"/>
          <w:spacing w:val="0"/>
          <w:kern w:val="2"/>
          <w:position w:val="0"/>
          <w:sz w:val="32"/>
          <w:szCs w:val="32"/>
          <w:lang w:eastAsia="zh-CN"/>
        </w:rPr>
        <w:t>内蒙古自治区党委关于全方位建设模范自治区的决定》《内蒙古自治区全方位建设模范自治区促进条例</w:t>
      </w:r>
      <w:r>
        <w:rPr>
          <w:rFonts w:hint="eastAsia" w:ascii="Times New Roman" w:hAnsi="Times New Roman" w:eastAsia="仿宋_GB2312" w:cs="仿宋_GB2312"/>
          <w:b w:val="0"/>
          <w:bCs w:val="0"/>
          <w:color w:val="auto"/>
          <w:sz w:val="32"/>
          <w:szCs w:val="32"/>
          <w:lang w:val="en-US" w:eastAsia="zh-CN"/>
        </w:rPr>
        <w:t>》等政策法规，结合民族工作实际,现就健全完善民族工作专家库，制定本办法。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仿宋_GB2312"/>
          <w:b w:val="0"/>
          <w:bCs w:val="0"/>
          <w:color w:val="auto"/>
          <w:sz w:val="32"/>
          <w:szCs w:val="32"/>
          <w:lang w:val="en-US" w:eastAsia="zh-CN"/>
        </w:rPr>
      </w:pPr>
      <w:r>
        <w:rPr>
          <w:rFonts w:hint="eastAsia" w:ascii="Times New Roman" w:hAnsi="Times New Roman" w:eastAsia="楷体_GB2312" w:cs="楷体_GB2312"/>
          <w:b w:val="0"/>
          <w:bCs w:val="0"/>
          <w:color w:val="auto"/>
          <w:sz w:val="32"/>
          <w:szCs w:val="32"/>
          <w:lang w:val="en-US" w:eastAsia="zh-CN"/>
        </w:rPr>
        <w:t>第二条</w:t>
      </w:r>
      <w:r>
        <w:rPr>
          <w:rFonts w:hint="eastAsia" w:ascii="Times New Roman" w:hAnsi="Times New Roman" w:eastAsia="仿宋_GB2312" w:cs="仿宋_GB2312"/>
          <w:b w:val="0"/>
          <w:bCs w:val="0"/>
          <w:color w:val="auto"/>
          <w:sz w:val="32"/>
          <w:szCs w:val="32"/>
          <w:lang w:val="en-US" w:eastAsia="zh-CN"/>
        </w:rPr>
        <w:t xml:space="preserve"> 专家库旨在从区内外高等院校、科研单位、研究机构汇集民族工作理论和实践研究方面的知名专家、学者，区内长期从事民族工作，具有丰富实践经验的领导干部，为全区民族工作决策咨询、规划编制、风险评估、专题调研、宣讲培训、项目评审、社会服务等提供人力资源和智力支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仿宋_GB2312"/>
          <w:b w:val="0"/>
          <w:bCs w:val="0"/>
          <w:color w:val="auto"/>
          <w:sz w:val="32"/>
          <w:szCs w:val="32"/>
          <w:lang w:val="en-US" w:eastAsia="zh-CN"/>
        </w:rPr>
      </w:pPr>
      <w:r>
        <w:rPr>
          <w:rFonts w:hint="eastAsia" w:ascii="Times New Roman" w:hAnsi="Times New Roman" w:eastAsia="楷体_GB2312" w:cs="楷体_GB2312"/>
          <w:b w:val="0"/>
          <w:bCs w:val="0"/>
          <w:color w:val="auto"/>
          <w:sz w:val="32"/>
          <w:szCs w:val="32"/>
          <w:lang w:val="en-US" w:eastAsia="zh-CN"/>
        </w:rPr>
        <w:t>第三条</w:t>
      </w:r>
      <w:r>
        <w:rPr>
          <w:rFonts w:hint="eastAsia" w:ascii="Times New Roman" w:hAnsi="Times New Roman" w:eastAsia="仿宋_GB2312" w:cs="仿宋_GB2312"/>
          <w:b w:val="0"/>
          <w:bCs w:val="0"/>
          <w:color w:val="auto"/>
          <w:sz w:val="32"/>
          <w:szCs w:val="32"/>
          <w:lang w:val="en-US" w:eastAsia="zh-CN"/>
        </w:rPr>
        <w:t xml:space="preserve"> 内蒙古自治区民族事务委员会（以下简称自治区民委）按照统一建设、科学管理、资源共享、规范使用的原则建立专家库，</w:t>
      </w:r>
      <w:r>
        <w:rPr>
          <w:rFonts w:hint="eastAsia" w:ascii="Times New Roman" w:hAnsi="Times New Roman" w:eastAsia="仿宋_GB2312" w:cs="仿宋_GB2312"/>
          <w:b w:val="0"/>
          <w:bCs w:val="0"/>
          <w:color w:val="auto"/>
          <w:sz w:val="32"/>
          <w:szCs w:val="32"/>
        </w:rPr>
        <w:t>研究制定相关政策和管理制度；负责组织专家征集、出库入库和专家履职评价</w:t>
      </w:r>
      <w:r>
        <w:rPr>
          <w:rFonts w:hint="eastAsia" w:ascii="Times New Roman" w:hAnsi="Times New Roman" w:eastAsia="仿宋_GB2312" w:cs="仿宋_GB2312"/>
          <w:b w:val="0"/>
          <w:bCs w:val="0"/>
          <w:color w:val="auto"/>
          <w:sz w:val="32"/>
          <w:szCs w:val="32"/>
          <w:lang w:eastAsia="zh-CN"/>
        </w:rPr>
        <w:t>；</w:t>
      </w:r>
      <w:r>
        <w:rPr>
          <w:rFonts w:hint="eastAsia" w:ascii="Times New Roman" w:hAnsi="Times New Roman" w:eastAsia="仿宋_GB2312" w:cs="仿宋_GB2312"/>
          <w:b w:val="0"/>
          <w:bCs w:val="0"/>
          <w:color w:val="auto"/>
          <w:sz w:val="32"/>
          <w:szCs w:val="32"/>
          <w:lang w:val="en-US" w:eastAsia="zh-CN"/>
        </w:rPr>
        <w:t>负责管理专家库。</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仿宋_GB2312"/>
          <w:b w:val="0"/>
          <w:bCs w:val="0"/>
          <w:color w:val="auto"/>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jc w:val="center"/>
        <w:textAlignment w:val="auto"/>
        <w:rPr>
          <w:rFonts w:hint="eastAsia" w:ascii="Times New Roman" w:hAnsi="Times New Roman" w:eastAsia="黑体" w:cs="黑体"/>
          <w:b w:val="0"/>
          <w:bCs w:val="0"/>
          <w:color w:val="auto"/>
          <w:sz w:val="32"/>
          <w:szCs w:val="32"/>
          <w:lang w:val="en-US" w:eastAsia="zh-CN"/>
        </w:rPr>
      </w:pPr>
      <w:r>
        <w:rPr>
          <w:rFonts w:hint="eastAsia" w:ascii="Times New Roman" w:hAnsi="Times New Roman" w:eastAsia="黑体" w:cs="黑体"/>
          <w:b w:val="0"/>
          <w:bCs w:val="0"/>
          <w:color w:val="auto"/>
          <w:sz w:val="32"/>
          <w:szCs w:val="32"/>
          <w:lang w:val="en-US" w:eastAsia="zh-CN"/>
        </w:rPr>
        <w:t xml:space="preserve"> 入库条件及申请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Times New Roman" w:hAnsi="Times New Roman" w:eastAsia="仿宋_GB2312" w:cs="仿宋_GB2312"/>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仿宋_GB2312"/>
          <w:b w:val="0"/>
          <w:bCs w:val="0"/>
          <w:color w:val="auto"/>
          <w:sz w:val="32"/>
          <w:szCs w:val="32"/>
          <w:lang w:val="en-US" w:eastAsia="zh-CN"/>
        </w:rPr>
      </w:pPr>
      <w:r>
        <w:rPr>
          <w:rFonts w:hint="eastAsia" w:ascii="Times New Roman" w:hAnsi="Times New Roman" w:eastAsia="楷体_GB2312" w:cs="楷体_GB2312"/>
          <w:b w:val="0"/>
          <w:bCs w:val="0"/>
          <w:color w:val="auto"/>
          <w:sz w:val="32"/>
          <w:szCs w:val="32"/>
          <w:lang w:val="en-US" w:eastAsia="zh-CN"/>
        </w:rPr>
        <w:t>第四条</w:t>
      </w:r>
      <w:r>
        <w:rPr>
          <w:rFonts w:hint="eastAsia" w:ascii="Times New Roman" w:hAnsi="Times New Roman" w:eastAsia="仿宋_GB2312" w:cs="仿宋_GB2312"/>
          <w:b w:val="0"/>
          <w:bCs w:val="0"/>
          <w:color w:val="auto"/>
          <w:sz w:val="32"/>
          <w:szCs w:val="32"/>
          <w:lang w:val="en-US" w:eastAsia="zh-CN"/>
        </w:rPr>
        <w:t xml:space="preserve"> 专家入库应具备以下条件：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仿宋_GB2312"/>
          <w:b w:val="0"/>
          <w:bCs w:val="0"/>
          <w:color w:val="auto"/>
          <w:sz w:val="32"/>
          <w:szCs w:val="32"/>
          <w:lang w:val="en-US" w:eastAsia="zh"/>
        </w:rPr>
      </w:pPr>
      <w:r>
        <w:rPr>
          <w:rFonts w:hint="eastAsia" w:ascii="Times New Roman" w:hAnsi="Times New Roman" w:eastAsia="仿宋_GB2312" w:cs="仿宋_GB2312"/>
          <w:b w:val="0"/>
          <w:bCs w:val="0"/>
          <w:color w:val="auto"/>
          <w:sz w:val="32"/>
          <w:szCs w:val="32"/>
          <w:lang w:val="en-US" w:eastAsia="zh-CN"/>
        </w:rPr>
        <w:t>（一）遵守国家法律法规和方针政策，政治立场坚定，具有中华人民共和国国籍</w:t>
      </w:r>
      <w:r>
        <w:rPr>
          <w:rFonts w:hint="eastAsia" w:ascii="Times New Roman" w:hAnsi="Times New Roman" w:eastAsia="仿宋_GB2312" w:cs="仿宋_GB2312"/>
          <w:b w:val="0"/>
          <w:bCs w:val="0"/>
          <w:color w:val="auto"/>
          <w:sz w:val="32"/>
          <w:szCs w:val="32"/>
          <w:lang w:val="en-US" w:eastAsia="zh"/>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仿宋_GB2312"/>
          <w:b w:val="0"/>
          <w:bCs w:val="0"/>
          <w:color w:val="auto"/>
          <w:sz w:val="32"/>
          <w:szCs w:val="32"/>
          <w:lang w:val="en-US" w:eastAsia="zh-CN"/>
        </w:rPr>
      </w:pPr>
      <w:r>
        <w:rPr>
          <w:rFonts w:hint="eastAsia" w:ascii="Times New Roman" w:hAnsi="Times New Roman" w:eastAsia="仿宋_GB2312" w:cs="仿宋_GB2312"/>
          <w:b w:val="0"/>
          <w:bCs w:val="0"/>
          <w:color w:val="auto"/>
          <w:sz w:val="32"/>
          <w:szCs w:val="32"/>
          <w:lang w:val="en-US" w:eastAsia="zh-CN"/>
        </w:rPr>
        <w:t>（二）热爱民族工作，具有良好的研究和实践能力、科学素养和职业操守，无不良科研诚信和社会信用记录；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仿宋_GB2312"/>
          <w:b w:val="0"/>
          <w:bCs w:val="0"/>
          <w:color w:val="auto"/>
          <w:sz w:val="32"/>
          <w:szCs w:val="32"/>
          <w:lang w:val="en-US" w:eastAsia="zh-CN"/>
        </w:rPr>
      </w:pPr>
      <w:r>
        <w:rPr>
          <w:rFonts w:hint="eastAsia" w:ascii="Times New Roman" w:hAnsi="Times New Roman" w:eastAsia="仿宋_GB2312" w:cs="仿宋_GB2312"/>
          <w:b w:val="0"/>
          <w:bCs w:val="0"/>
          <w:color w:val="auto"/>
          <w:sz w:val="32"/>
          <w:szCs w:val="32"/>
          <w:lang w:val="en-US" w:eastAsia="zh-CN"/>
        </w:rPr>
        <w:t>（三）坚持实事求是的科学态度，能够独立、客观、公正、诚实、廉洁履行工作职责；</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仿宋_GB2312"/>
          <w:b w:val="0"/>
          <w:bCs w:val="0"/>
          <w:color w:val="auto"/>
          <w:sz w:val="32"/>
          <w:szCs w:val="32"/>
          <w:lang w:val="en-US" w:eastAsia="zh-CN"/>
        </w:rPr>
      </w:pPr>
      <w:r>
        <w:rPr>
          <w:rFonts w:hint="eastAsia" w:ascii="Times New Roman" w:hAnsi="Times New Roman" w:eastAsia="仿宋_GB2312" w:cs="仿宋_GB2312"/>
          <w:b w:val="0"/>
          <w:bCs w:val="0"/>
          <w:color w:val="auto"/>
          <w:sz w:val="32"/>
          <w:szCs w:val="32"/>
          <w:lang w:val="en-US" w:eastAsia="zh-CN"/>
        </w:rPr>
        <w:t>（四）熟悉民族领域相关法律法规和方针政策，具有较高的理论政策水平和业务服务决策能力，身体健康并能够胜任工作；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仿宋_GB2312"/>
          <w:b w:val="0"/>
          <w:bCs w:val="0"/>
          <w:color w:val="auto"/>
          <w:sz w:val="32"/>
          <w:szCs w:val="32"/>
          <w:lang w:val="en-US" w:eastAsia="zh-CN"/>
        </w:rPr>
      </w:pPr>
      <w:r>
        <w:rPr>
          <w:rFonts w:hint="eastAsia" w:ascii="Times New Roman" w:hAnsi="Times New Roman" w:eastAsia="仿宋_GB2312" w:cs="仿宋_GB2312"/>
          <w:b w:val="0"/>
          <w:bCs w:val="0"/>
          <w:color w:val="auto"/>
          <w:sz w:val="32"/>
          <w:szCs w:val="32"/>
          <w:lang w:val="en-US" w:eastAsia="zh-CN"/>
        </w:rPr>
        <w:t>（五）应具有副高级专业技术职称或相当的职务，年龄原则上不超过65周岁，在全国、全区有一定影响力和知名度。院士、长江学者、省部级专业团队领军人才、享受国务院特殊津贴专家年龄可适当放宽；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仿宋_GB2312"/>
          <w:b w:val="0"/>
          <w:bCs w:val="0"/>
          <w:color w:val="auto"/>
          <w:sz w:val="32"/>
          <w:szCs w:val="32"/>
          <w:lang w:val="en-US" w:eastAsia="zh-CN"/>
        </w:rPr>
      </w:pPr>
      <w:r>
        <w:rPr>
          <w:rFonts w:hint="eastAsia" w:ascii="Times New Roman" w:hAnsi="Times New Roman" w:eastAsia="仿宋_GB2312" w:cs="仿宋_GB2312"/>
          <w:b w:val="0"/>
          <w:bCs w:val="0"/>
          <w:color w:val="auto"/>
          <w:sz w:val="32"/>
          <w:szCs w:val="32"/>
          <w:lang w:val="en-US" w:eastAsia="zh-CN"/>
        </w:rPr>
        <w:t>（六）在统战民委系统从事民族工作满10年以上，具有丰富实践经验的在职或离退休领导干部。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仿宋_GB2312"/>
          <w:b w:val="0"/>
          <w:bCs w:val="0"/>
          <w:color w:val="auto"/>
          <w:sz w:val="32"/>
          <w:szCs w:val="32"/>
          <w:lang w:val="en-US" w:eastAsia="zh-CN"/>
        </w:rPr>
      </w:pPr>
      <w:r>
        <w:rPr>
          <w:rFonts w:hint="eastAsia" w:ascii="Times New Roman" w:hAnsi="Times New Roman" w:eastAsia="仿宋_GB2312" w:cs="仿宋_GB2312"/>
          <w:b w:val="0"/>
          <w:bCs w:val="0"/>
          <w:color w:val="auto"/>
          <w:sz w:val="32"/>
          <w:szCs w:val="32"/>
          <w:lang w:val="en-US" w:eastAsia="zh-CN"/>
        </w:rPr>
        <w:t>入库专家必须具备（一）、（二）、（三）、（四）条件，同时具备（五）或（六）条件，方能入库。</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仿宋_GB2312"/>
          <w:b w:val="0"/>
          <w:bCs w:val="0"/>
          <w:color w:val="auto"/>
          <w:sz w:val="32"/>
          <w:szCs w:val="32"/>
          <w:lang w:val="en-US" w:eastAsia="zh-CN"/>
        </w:rPr>
      </w:pPr>
      <w:r>
        <w:rPr>
          <w:rFonts w:hint="eastAsia" w:ascii="Times New Roman" w:hAnsi="Times New Roman" w:eastAsia="楷体_GB2312" w:cs="楷体_GB2312"/>
          <w:b w:val="0"/>
          <w:bCs w:val="0"/>
          <w:color w:val="auto"/>
          <w:sz w:val="32"/>
          <w:szCs w:val="32"/>
          <w:lang w:val="en-US" w:eastAsia="zh-CN"/>
        </w:rPr>
        <w:t>第五条</w:t>
      </w:r>
      <w:r>
        <w:rPr>
          <w:rFonts w:hint="eastAsia" w:ascii="Times New Roman" w:hAnsi="Times New Roman" w:eastAsia="仿宋_GB2312" w:cs="仿宋_GB2312"/>
          <w:b w:val="0"/>
          <w:bCs w:val="0"/>
          <w:color w:val="auto"/>
          <w:sz w:val="32"/>
          <w:szCs w:val="32"/>
          <w:lang w:val="en-US" w:eastAsia="zh-CN"/>
        </w:rPr>
        <w:t xml:space="preserve"> 专家入库申请采取单位推荐和点名邀请相结合的方式。专家所在单位征得本人同意后进行推荐，推荐要严把政治关、审查关，做到公开公平公正。推荐入库的专家，需完整填写《内蒙古自治区民族事务委员会民族工作专家库入库专家推荐表》，加盖单位公章后与佐证材料一并由所在单位报送自治区民委。点名邀请的拟入库专家、学者，由自治区民委负责政治审查和资格审核。</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仿宋_GB2312"/>
          <w:b w:val="0"/>
          <w:bCs w:val="0"/>
          <w:color w:val="auto"/>
          <w:sz w:val="32"/>
          <w:szCs w:val="32"/>
          <w:lang w:val="en-US" w:eastAsia="zh-CN"/>
        </w:rPr>
      </w:pPr>
      <w:r>
        <w:rPr>
          <w:rFonts w:hint="eastAsia" w:ascii="Times New Roman" w:hAnsi="Times New Roman" w:eastAsia="楷体_GB2312" w:cs="楷体_GB2312"/>
          <w:b w:val="0"/>
          <w:bCs w:val="0"/>
          <w:color w:val="auto"/>
          <w:sz w:val="32"/>
          <w:szCs w:val="32"/>
          <w:lang w:val="en-US" w:eastAsia="zh-CN"/>
        </w:rPr>
        <w:t>第六条</w:t>
      </w:r>
      <w:r>
        <w:rPr>
          <w:rFonts w:hint="eastAsia" w:ascii="Times New Roman" w:hAnsi="Times New Roman" w:eastAsia="仿宋_GB2312" w:cs="仿宋_GB2312"/>
          <w:b w:val="0"/>
          <w:bCs w:val="0"/>
          <w:color w:val="auto"/>
          <w:sz w:val="32"/>
          <w:szCs w:val="32"/>
          <w:lang w:val="en-US" w:eastAsia="zh-CN"/>
        </w:rPr>
        <w:t xml:space="preserve"> 自治区民委收到申报材料后，组织资格审查。通过资格审查的入库备选专家，由自治区民委结合全区民族工作实际和需要，进行遴选及分类管理。拟入库专家名单和调整意见经自治区民委党组会议研究审议，在自治区民委机关网站公示5个工作日后聘任入库，同时颁发聘任证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640" w:leftChars="0"/>
        <w:jc w:val="both"/>
        <w:textAlignment w:val="auto"/>
        <w:rPr>
          <w:rFonts w:hint="eastAsia" w:ascii="Times New Roman" w:hAnsi="Times New Roman" w:eastAsia="仿宋_GB2312" w:cs="仿宋_GB2312"/>
          <w:b w:val="0"/>
          <w:bCs w:val="0"/>
          <w:color w:val="auto"/>
          <w:sz w:val="32"/>
          <w:szCs w:val="32"/>
          <w:lang w:val="en-US" w:eastAsia="zh-CN"/>
        </w:rPr>
      </w:pPr>
    </w:p>
    <w:p>
      <w:pPr>
        <w:pStyle w:val="3"/>
        <w:numPr>
          <w:ilvl w:val="0"/>
          <w:numId w:val="1"/>
        </w:numPr>
        <w:bidi w:val="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专家选用、权利和义务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Times New Roman" w:hAnsi="Times New Roman" w:eastAsia="仿宋_GB2312" w:cs="仿宋_GB2312"/>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仿宋_GB2312"/>
          <w:b w:val="0"/>
          <w:bCs w:val="0"/>
          <w:color w:val="auto"/>
          <w:sz w:val="32"/>
          <w:szCs w:val="32"/>
          <w:lang w:val="en-US" w:eastAsia="zh-CN"/>
        </w:rPr>
      </w:pPr>
      <w:r>
        <w:rPr>
          <w:rFonts w:hint="eastAsia" w:ascii="Times New Roman" w:hAnsi="Times New Roman" w:eastAsia="楷体_GB2312" w:cs="楷体_GB2312"/>
          <w:b w:val="0"/>
          <w:bCs w:val="0"/>
          <w:color w:val="auto"/>
          <w:sz w:val="32"/>
          <w:szCs w:val="32"/>
          <w:lang w:val="en-US" w:eastAsia="zh-CN"/>
        </w:rPr>
        <w:t>第七条</w:t>
      </w:r>
      <w:r>
        <w:rPr>
          <w:rFonts w:hint="eastAsia" w:ascii="Times New Roman" w:hAnsi="Times New Roman" w:eastAsia="仿宋_GB2312" w:cs="仿宋_GB2312"/>
          <w:b w:val="0"/>
          <w:bCs w:val="0"/>
          <w:color w:val="auto"/>
          <w:sz w:val="32"/>
          <w:szCs w:val="32"/>
          <w:lang w:val="en-US" w:eastAsia="zh-CN"/>
        </w:rPr>
        <w:t xml:space="preserve"> 专家选用包括随机抽取和择优选取两种方式。抽（选）取方式由自治区民委根据工作实际和需求选定。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仿宋_GB2312"/>
          <w:b w:val="0"/>
          <w:bCs w:val="0"/>
          <w:color w:val="auto"/>
          <w:sz w:val="32"/>
          <w:szCs w:val="32"/>
          <w:lang w:val="en-US" w:eastAsia="zh-CN"/>
        </w:rPr>
      </w:pPr>
      <w:r>
        <w:rPr>
          <w:rFonts w:hint="eastAsia" w:ascii="Times New Roman" w:hAnsi="Times New Roman" w:eastAsia="楷体_GB2312" w:cs="楷体_GB2312"/>
          <w:b w:val="0"/>
          <w:bCs w:val="0"/>
          <w:color w:val="auto"/>
          <w:sz w:val="32"/>
          <w:szCs w:val="32"/>
          <w:lang w:val="en-US" w:eastAsia="zh-CN"/>
        </w:rPr>
        <w:t>第八条</w:t>
      </w:r>
      <w:r>
        <w:rPr>
          <w:rFonts w:hint="eastAsia" w:ascii="Times New Roman" w:hAnsi="Times New Roman" w:eastAsia="仿宋_GB2312" w:cs="仿宋_GB2312"/>
          <w:b w:val="0"/>
          <w:bCs w:val="0"/>
          <w:color w:val="auto"/>
          <w:sz w:val="32"/>
          <w:szCs w:val="32"/>
          <w:lang w:val="en-US" w:eastAsia="zh-CN"/>
        </w:rPr>
        <w:t xml:space="preserve"> 入库专家开展以下工作、服务或活动：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Times New Roman" w:hAnsi="Times New Roman" w:eastAsia="仿宋_GB2312" w:cs="仿宋_GB2312"/>
          <w:b w:val="0"/>
          <w:bCs w:val="0"/>
          <w:color w:val="auto"/>
          <w:sz w:val="32"/>
          <w:szCs w:val="32"/>
          <w:lang w:val="en-US" w:eastAsia="zh-CN"/>
        </w:rPr>
      </w:pPr>
      <w:r>
        <w:rPr>
          <w:rFonts w:hint="eastAsia" w:ascii="Times New Roman" w:hAnsi="Times New Roman" w:eastAsia="仿宋_GB2312" w:cs="仿宋_GB2312"/>
          <w:b w:val="0"/>
          <w:bCs w:val="0"/>
          <w:color w:val="auto"/>
          <w:sz w:val="32"/>
          <w:szCs w:val="32"/>
          <w:lang w:val="en-US" w:eastAsia="zh-CN"/>
        </w:rPr>
        <w:t>（一）在自治区民委的指导下，协助参与自治区党委和政府有关民族工作的科学决策；</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Times New Roman" w:hAnsi="Times New Roman" w:eastAsia="仿宋_GB2312" w:cs="仿宋_GB2312"/>
          <w:b w:val="0"/>
          <w:bCs w:val="0"/>
          <w:color w:val="auto"/>
          <w:sz w:val="32"/>
          <w:szCs w:val="32"/>
          <w:lang w:val="en-US" w:eastAsia="zh-CN"/>
        </w:rPr>
      </w:pPr>
      <w:r>
        <w:rPr>
          <w:rFonts w:hint="eastAsia" w:ascii="Times New Roman" w:hAnsi="Times New Roman" w:eastAsia="仿宋_GB2312" w:cs="仿宋_GB2312"/>
          <w:b w:val="0"/>
          <w:bCs w:val="0"/>
          <w:color w:val="auto"/>
          <w:sz w:val="32"/>
          <w:szCs w:val="32"/>
          <w:lang w:val="en-US" w:eastAsia="zh-CN"/>
        </w:rPr>
        <w:t>（二）受自治区民委委托，承担向自治区党委和政府提交民族工作领域咨政报告或提供咨询服务；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Times New Roman" w:hAnsi="Times New Roman" w:eastAsia="仿宋_GB2312" w:cs="仿宋_GB2312"/>
          <w:b w:val="0"/>
          <w:bCs w:val="0"/>
          <w:color w:val="auto"/>
          <w:sz w:val="32"/>
          <w:szCs w:val="32"/>
          <w:lang w:val="en-US" w:eastAsia="zh-CN"/>
        </w:rPr>
      </w:pPr>
      <w:r>
        <w:rPr>
          <w:rFonts w:hint="eastAsia" w:ascii="Times New Roman" w:hAnsi="Times New Roman" w:eastAsia="仿宋_GB2312" w:cs="仿宋_GB2312"/>
          <w:b w:val="0"/>
          <w:bCs w:val="0"/>
          <w:color w:val="auto"/>
          <w:sz w:val="32"/>
          <w:szCs w:val="32"/>
          <w:lang w:val="en-US" w:eastAsia="zh-CN"/>
        </w:rPr>
        <w:t>（三）参与研究和编制全区民族工作相关的政策、法规、规章、规划、计划、方案等；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仿宋_GB2312"/>
          <w:b w:val="0"/>
          <w:bCs w:val="0"/>
          <w:color w:val="auto"/>
          <w:sz w:val="32"/>
          <w:szCs w:val="32"/>
          <w:lang w:val="en-US" w:eastAsia="zh-CN"/>
        </w:rPr>
      </w:pPr>
      <w:r>
        <w:rPr>
          <w:rFonts w:hint="eastAsia" w:ascii="Times New Roman" w:hAnsi="Times New Roman" w:eastAsia="仿宋_GB2312" w:cs="仿宋_GB2312"/>
          <w:b w:val="0"/>
          <w:bCs w:val="0"/>
          <w:color w:val="auto"/>
          <w:sz w:val="32"/>
          <w:szCs w:val="32"/>
          <w:lang w:val="en-US" w:eastAsia="zh-CN"/>
        </w:rPr>
        <w:t>（四）参与自治区民委组织的民族工作相关调查研究、实地考察、征询意见等活动，形成成果报告并协助转化利用；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仿宋_GB2312"/>
          <w:b w:val="0"/>
          <w:bCs w:val="0"/>
          <w:color w:val="auto"/>
          <w:sz w:val="32"/>
          <w:szCs w:val="32"/>
          <w:lang w:val="en-US" w:eastAsia="zh-CN"/>
        </w:rPr>
      </w:pPr>
      <w:r>
        <w:rPr>
          <w:rFonts w:hint="eastAsia" w:ascii="Times New Roman" w:hAnsi="Times New Roman" w:eastAsia="仿宋_GB2312" w:cs="仿宋_GB2312"/>
          <w:b w:val="0"/>
          <w:bCs w:val="0"/>
          <w:color w:val="auto"/>
          <w:sz w:val="32"/>
          <w:szCs w:val="32"/>
          <w:lang w:val="en-US" w:eastAsia="zh-CN"/>
        </w:rPr>
        <w:t>（五）参与自治区民委组织的民族工作相关人员教育培训、主题讲座、宣讲交流、风险评估等活动；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仿宋_GB2312"/>
          <w:b w:val="0"/>
          <w:bCs w:val="0"/>
          <w:color w:val="auto"/>
          <w:sz w:val="32"/>
          <w:szCs w:val="32"/>
          <w:lang w:val="en-US" w:eastAsia="zh-CN"/>
        </w:rPr>
      </w:pPr>
      <w:r>
        <w:rPr>
          <w:rFonts w:hint="eastAsia" w:ascii="Times New Roman" w:hAnsi="Times New Roman" w:eastAsia="仿宋_GB2312" w:cs="仿宋_GB2312"/>
          <w:b w:val="0"/>
          <w:bCs w:val="0"/>
          <w:color w:val="auto"/>
          <w:sz w:val="32"/>
          <w:szCs w:val="32"/>
          <w:lang w:val="en-US" w:eastAsia="zh-CN"/>
        </w:rPr>
        <w:t>（六）参与自治区民委民族工作研究项目的征集入库、立项评审、监督指导、评估验收等工作。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仿宋_GB2312"/>
          <w:b w:val="0"/>
          <w:bCs w:val="0"/>
          <w:color w:val="auto"/>
          <w:sz w:val="32"/>
          <w:szCs w:val="32"/>
          <w:lang w:val="en-US" w:eastAsia="zh-CN"/>
        </w:rPr>
      </w:pPr>
      <w:r>
        <w:rPr>
          <w:rFonts w:hint="eastAsia" w:ascii="Times New Roman" w:hAnsi="Times New Roman" w:eastAsia="楷体_GB2312" w:cs="楷体_GB2312"/>
          <w:b w:val="0"/>
          <w:bCs w:val="0"/>
          <w:color w:val="auto"/>
          <w:sz w:val="32"/>
          <w:szCs w:val="32"/>
          <w:lang w:val="en-US" w:eastAsia="zh-CN"/>
        </w:rPr>
        <w:t>第九条</w:t>
      </w:r>
      <w:r>
        <w:rPr>
          <w:rFonts w:hint="eastAsia" w:ascii="Times New Roman" w:hAnsi="Times New Roman" w:eastAsia="仿宋_GB2312" w:cs="仿宋_GB2312"/>
          <w:b w:val="0"/>
          <w:bCs w:val="0"/>
          <w:color w:val="auto"/>
          <w:sz w:val="32"/>
          <w:szCs w:val="32"/>
          <w:lang w:val="en-US" w:eastAsia="zh-CN"/>
        </w:rPr>
        <w:t xml:space="preserve"> 入库专家享有以下权利:</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Times New Roman" w:hAnsi="Times New Roman" w:eastAsia="仿宋_GB2312" w:cs="仿宋_GB2312"/>
          <w:b w:val="0"/>
          <w:bCs w:val="0"/>
          <w:color w:val="auto"/>
          <w:sz w:val="32"/>
          <w:szCs w:val="32"/>
          <w:lang w:val="en-US" w:eastAsia="zh-CN"/>
        </w:rPr>
      </w:pPr>
      <w:r>
        <w:rPr>
          <w:rFonts w:hint="eastAsia" w:ascii="Times New Roman" w:hAnsi="Times New Roman" w:eastAsia="仿宋_GB2312" w:cs="仿宋_GB2312"/>
          <w:b w:val="0"/>
          <w:bCs w:val="0"/>
          <w:color w:val="auto"/>
          <w:sz w:val="32"/>
          <w:szCs w:val="32"/>
          <w:lang w:val="en-US" w:eastAsia="zh-CN"/>
        </w:rPr>
        <w:t>（一）对议事事项和有关行政管理规定的知情权；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Times New Roman" w:hAnsi="Times New Roman" w:eastAsia="仿宋_GB2312" w:cs="仿宋_GB2312"/>
          <w:b w:val="0"/>
          <w:bCs w:val="0"/>
          <w:color w:val="auto"/>
          <w:sz w:val="32"/>
          <w:szCs w:val="32"/>
          <w:lang w:val="en-US" w:eastAsia="zh-CN"/>
        </w:rPr>
      </w:pPr>
      <w:r>
        <w:rPr>
          <w:rFonts w:hint="eastAsia" w:ascii="Times New Roman" w:hAnsi="Times New Roman" w:eastAsia="仿宋_GB2312" w:cs="仿宋_GB2312"/>
          <w:b w:val="0"/>
          <w:bCs w:val="0"/>
          <w:color w:val="auto"/>
          <w:sz w:val="32"/>
          <w:szCs w:val="32"/>
          <w:lang w:val="en-US" w:eastAsia="zh-CN"/>
        </w:rPr>
        <w:t>（二）专家参与评审工作时，拥有独立自主、公平公正、不受任何单位和个人以任何方式干预影响的权利，以及要求在评审结论中充分保留个人评审意见，并拒绝在不符合本意的结论上签字的权利；</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Times New Roman" w:hAnsi="Times New Roman" w:eastAsia="仿宋_GB2312" w:cs="仿宋_GB2312"/>
          <w:b w:val="0"/>
          <w:bCs w:val="0"/>
          <w:color w:val="auto"/>
          <w:sz w:val="32"/>
          <w:szCs w:val="32"/>
          <w:lang w:val="en-US" w:eastAsia="zh"/>
        </w:rPr>
      </w:pPr>
      <w:r>
        <w:rPr>
          <w:rFonts w:hint="eastAsia" w:ascii="Times New Roman" w:hAnsi="Times New Roman" w:eastAsia="仿宋_GB2312" w:cs="仿宋_GB2312"/>
          <w:b w:val="0"/>
          <w:bCs w:val="0"/>
          <w:color w:val="auto"/>
          <w:sz w:val="32"/>
          <w:szCs w:val="32"/>
          <w:lang w:val="en-US" w:eastAsia="zh-CN"/>
        </w:rPr>
        <w:t>（三）按照《中央财政科研项目专家咨询费管理办法》（财科教〔2017〕128号）、《中央和国家机关培训费管理办法》（财行〔2016〕540号）、《内蒙古自治区民委机关培训费管理办法》等有关规定和标准接受合法劳务报酬，报销差旅费和差旅补助的权利；</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Times New Roman" w:hAnsi="Times New Roman" w:eastAsia="仿宋_GB2312" w:cs="仿宋_GB2312"/>
          <w:b w:val="0"/>
          <w:bCs w:val="0"/>
          <w:color w:val="auto"/>
          <w:sz w:val="32"/>
          <w:szCs w:val="32"/>
          <w:lang w:val="en-US" w:eastAsia="zh-CN"/>
        </w:rPr>
      </w:pPr>
      <w:r>
        <w:rPr>
          <w:rFonts w:hint="eastAsia" w:ascii="Times New Roman" w:hAnsi="Times New Roman" w:eastAsia="仿宋_GB2312" w:cs="仿宋_GB2312"/>
          <w:b w:val="0"/>
          <w:bCs w:val="0"/>
          <w:color w:val="auto"/>
          <w:sz w:val="32"/>
          <w:szCs w:val="32"/>
          <w:lang w:val="en-US" w:eastAsia="zh-CN"/>
        </w:rPr>
        <w:t>（四）法律、法规规定的其他权利。</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Times New Roman" w:hAnsi="Times New Roman" w:eastAsia="仿宋_GB2312" w:cs="仿宋_GB2312"/>
          <w:b w:val="0"/>
          <w:bCs w:val="0"/>
          <w:color w:val="auto"/>
          <w:sz w:val="32"/>
          <w:szCs w:val="32"/>
          <w:lang w:val="en-US" w:eastAsia="zh-CN"/>
        </w:rPr>
      </w:pPr>
      <w:r>
        <w:rPr>
          <w:rFonts w:hint="eastAsia" w:ascii="Times New Roman" w:hAnsi="Times New Roman" w:eastAsia="楷体_GB2312" w:cs="楷体_GB2312"/>
          <w:b w:val="0"/>
          <w:bCs w:val="0"/>
          <w:color w:val="auto"/>
          <w:sz w:val="32"/>
          <w:szCs w:val="32"/>
          <w:lang w:val="en-US" w:eastAsia="zh-CN"/>
        </w:rPr>
        <w:t>第十条</w:t>
      </w:r>
      <w:r>
        <w:rPr>
          <w:rFonts w:hint="eastAsia" w:ascii="Times New Roman" w:hAnsi="Times New Roman" w:eastAsia="仿宋_GB2312" w:cs="仿宋_GB2312"/>
          <w:b w:val="0"/>
          <w:bCs w:val="0"/>
          <w:color w:val="auto"/>
          <w:sz w:val="32"/>
          <w:szCs w:val="32"/>
          <w:lang w:val="en-US" w:eastAsia="zh-CN"/>
        </w:rPr>
        <w:t xml:space="preserve"> 入库专家履行如下义务：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Times New Roman" w:hAnsi="Times New Roman" w:eastAsia="仿宋_GB2312" w:cs="仿宋_GB2312"/>
          <w:b w:val="0"/>
          <w:bCs w:val="0"/>
          <w:color w:val="auto"/>
          <w:sz w:val="32"/>
          <w:szCs w:val="32"/>
          <w:lang w:val="en-US" w:eastAsia="zh-CN"/>
        </w:rPr>
      </w:pPr>
      <w:r>
        <w:rPr>
          <w:rFonts w:hint="eastAsia" w:ascii="Times New Roman" w:hAnsi="Times New Roman" w:eastAsia="仿宋_GB2312" w:cs="仿宋_GB2312"/>
          <w:b w:val="0"/>
          <w:bCs w:val="0"/>
          <w:color w:val="auto"/>
          <w:sz w:val="32"/>
          <w:szCs w:val="32"/>
          <w:lang w:val="en-US" w:eastAsia="zh-CN"/>
        </w:rPr>
        <w:t>（一）以实事求是、认真负责的态度，做好决策咨询、规划编制、风险评估、专题调研、宣讲培训等工作；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Times New Roman" w:hAnsi="Times New Roman" w:eastAsia="仿宋_GB2312" w:cs="仿宋_GB2312"/>
          <w:b w:val="0"/>
          <w:bCs w:val="0"/>
          <w:color w:val="auto"/>
          <w:sz w:val="32"/>
          <w:szCs w:val="32"/>
          <w:lang w:val="en-US" w:eastAsia="zh-CN"/>
        </w:rPr>
      </w:pPr>
      <w:r>
        <w:rPr>
          <w:rFonts w:hint="eastAsia" w:ascii="Times New Roman" w:hAnsi="Times New Roman" w:eastAsia="仿宋_GB2312" w:cs="仿宋_GB2312"/>
          <w:b w:val="0"/>
          <w:bCs w:val="0"/>
          <w:color w:val="auto"/>
          <w:sz w:val="32"/>
          <w:szCs w:val="32"/>
          <w:lang w:val="en-US" w:eastAsia="zh-CN"/>
        </w:rPr>
        <w:t>（二）按照科学、严谨、客观、公正的原则进行项目评审活动，按时提供公正的评审意见或结论；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Times New Roman" w:hAnsi="Times New Roman" w:eastAsia="仿宋_GB2312" w:cs="仿宋_GB2312"/>
          <w:b w:val="0"/>
          <w:bCs w:val="0"/>
          <w:color w:val="auto"/>
          <w:sz w:val="32"/>
          <w:szCs w:val="32"/>
          <w:lang w:val="en-US" w:eastAsia="zh-CN"/>
        </w:rPr>
      </w:pPr>
      <w:r>
        <w:rPr>
          <w:rFonts w:hint="eastAsia" w:ascii="Times New Roman" w:hAnsi="Times New Roman" w:eastAsia="仿宋_GB2312" w:cs="仿宋_GB2312"/>
          <w:b w:val="0"/>
          <w:bCs w:val="0"/>
          <w:color w:val="auto"/>
          <w:sz w:val="32"/>
          <w:szCs w:val="32"/>
          <w:lang w:val="en-US" w:eastAsia="zh-CN"/>
        </w:rPr>
        <w:t>（三）自觉遵守国家法律法规和评审工作纪律，对聘期内各类服务工作负有保密义务，不得擅自披露相关信息；</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Times New Roman" w:hAnsi="Times New Roman" w:eastAsia="仿宋_GB2312" w:cs="仿宋_GB2312"/>
          <w:b w:val="0"/>
          <w:bCs w:val="0"/>
          <w:color w:val="auto"/>
          <w:sz w:val="32"/>
          <w:szCs w:val="32"/>
          <w:lang w:val="en-US" w:eastAsia="zh-CN"/>
        </w:rPr>
      </w:pPr>
      <w:r>
        <w:rPr>
          <w:rFonts w:hint="eastAsia" w:ascii="Times New Roman" w:hAnsi="Times New Roman" w:eastAsia="仿宋_GB2312" w:cs="仿宋_GB2312"/>
          <w:b w:val="0"/>
          <w:bCs w:val="0"/>
          <w:color w:val="auto"/>
          <w:sz w:val="32"/>
          <w:szCs w:val="32"/>
          <w:lang w:val="en-US" w:eastAsia="zh-CN"/>
        </w:rPr>
        <w:t>（四）自觉遵守民族工作专家库管理办法，按时参加各类活动或提供各种服务，因故不能参加的，需提前告知活动组织者；</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Times New Roman" w:hAnsi="Times New Roman" w:eastAsia="仿宋_GB2312" w:cs="仿宋_GB2312"/>
          <w:b w:val="0"/>
          <w:bCs w:val="0"/>
          <w:color w:val="auto"/>
          <w:sz w:val="32"/>
          <w:szCs w:val="32"/>
          <w:lang w:val="en-US" w:eastAsia="zh-CN"/>
        </w:rPr>
      </w:pPr>
      <w:r>
        <w:rPr>
          <w:rFonts w:hint="eastAsia" w:ascii="Times New Roman" w:hAnsi="Times New Roman" w:eastAsia="仿宋_GB2312" w:cs="仿宋_GB2312"/>
          <w:b w:val="0"/>
          <w:bCs w:val="0"/>
          <w:color w:val="auto"/>
          <w:sz w:val="32"/>
          <w:szCs w:val="32"/>
          <w:lang w:val="en-US" w:eastAsia="zh-CN"/>
        </w:rPr>
        <w:t>（五）与评审工作或项目存在利害关系的，应主动回避；</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Times New Roman" w:hAnsi="Times New Roman" w:eastAsia="仿宋_GB2312" w:cs="仿宋_GB2312"/>
          <w:b w:val="0"/>
          <w:bCs w:val="0"/>
          <w:color w:val="auto"/>
          <w:sz w:val="32"/>
          <w:szCs w:val="32"/>
          <w:lang w:val="en-US" w:eastAsia="zh-CN"/>
        </w:rPr>
      </w:pPr>
      <w:r>
        <w:rPr>
          <w:rFonts w:hint="eastAsia" w:ascii="Times New Roman" w:hAnsi="Times New Roman" w:eastAsia="仿宋_GB2312" w:cs="仿宋_GB2312"/>
          <w:b w:val="0"/>
          <w:bCs w:val="0"/>
          <w:color w:val="auto"/>
          <w:sz w:val="32"/>
          <w:szCs w:val="32"/>
          <w:lang w:val="en-US" w:eastAsia="zh-CN"/>
        </w:rPr>
        <w:t>（六）从事评审等相关工作时，不得接受有关单位、个人的馈赠、宴请，不得利用入库专家的身份和影响力从事商业活动，为本人或所在单位谋取不正当利益或损害其他单位的利益；</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Times New Roman" w:hAnsi="Times New Roman" w:eastAsia="仿宋_GB2312" w:cs="仿宋_GB2312"/>
          <w:b w:val="0"/>
          <w:bCs w:val="0"/>
          <w:color w:val="auto"/>
          <w:sz w:val="32"/>
          <w:szCs w:val="32"/>
          <w:lang w:val="en-US" w:eastAsia="zh-CN"/>
        </w:rPr>
      </w:pPr>
      <w:r>
        <w:rPr>
          <w:rFonts w:hint="eastAsia" w:ascii="Times New Roman" w:hAnsi="Times New Roman" w:eastAsia="仿宋_GB2312" w:cs="仿宋_GB2312"/>
          <w:b w:val="0"/>
          <w:bCs w:val="0"/>
          <w:color w:val="auto"/>
          <w:sz w:val="32"/>
          <w:szCs w:val="32"/>
          <w:lang w:val="en-US" w:eastAsia="zh-CN"/>
        </w:rPr>
        <w:t>（七）法律、法规规定的其他义务。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Times New Roman" w:hAnsi="Times New Roman" w:eastAsia="仿宋_GB2312" w:cs="仿宋_GB2312"/>
          <w:b w:val="0"/>
          <w:bCs w:val="0"/>
          <w:color w:val="auto"/>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jc w:val="center"/>
        <w:textAlignment w:val="auto"/>
        <w:rPr>
          <w:rFonts w:hint="eastAsia" w:ascii="Times New Roman" w:hAnsi="Times New Roman" w:eastAsia="黑体" w:cs="黑体"/>
          <w:b w:val="0"/>
          <w:bCs w:val="0"/>
          <w:color w:val="auto"/>
          <w:sz w:val="32"/>
          <w:szCs w:val="32"/>
          <w:lang w:val="en-US" w:eastAsia="zh-CN"/>
        </w:rPr>
      </w:pPr>
      <w:r>
        <w:rPr>
          <w:rFonts w:hint="eastAsia" w:ascii="Times New Roman" w:hAnsi="Times New Roman" w:eastAsia="黑体" w:cs="黑体"/>
          <w:b w:val="0"/>
          <w:bCs w:val="0"/>
          <w:color w:val="auto"/>
          <w:sz w:val="32"/>
          <w:szCs w:val="32"/>
          <w:lang w:val="en-US" w:eastAsia="zh-CN"/>
        </w:rPr>
        <w:t xml:space="preserve"> 监督管理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Times New Roman" w:hAnsi="Times New Roman" w:eastAsia="仿宋_GB2312" w:cs="仿宋_GB2312"/>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仿宋_GB2312"/>
          <w:b w:val="0"/>
          <w:bCs w:val="0"/>
          <w:color w:val="auto"/>
          <w:sz w:val="32"/>
          <w:szCs w:val="32"/>
          <w:lang w:val="en-US" w:eastAsia="zh-CN"/>
        </w:rPr>
      </w:pPr>
      <w:r>
        <w:rPr>
          <w:rFonts w:hint="eastAsia" w:ascii="Times New Roman" w:hAnsi="Times New Roman" w:eastAsia="楷体_GB2312" w:cs="楷体_GB2312"/>
          <w:b w:val="0"/>
          <w:bCs w:val="0"/>
          <w:color w:val="auto"/>
          <w:sz w:val="32"/>
          <w:szCs w:val="32"/>
          <w:lang w:val="en-US" w:eastAsia="zh-CN"/>
        </w:rPr>
        <w:t>第十一条</w:t>
      </w:r>
      <w:r>
        <w:rPr>
          <w:rFonts w:hint="eastAsia" w:ascii="Times New Roman" w:hAnsi="Times New Roman" w:eastAsia="仿宋_GB2312" w:cs="仿宋_GB2312"/>
          <w:b w:val="0"/>
          <w:bCs w:val="0"/>
          <w:color w:val="auto"/>
          <w:sz w:val="32"/>
          <w:szCs w:val="32"/>
          <w:lang w:val="en-US" w:eastAsia="zh-CN"/>
        </w:rPr>
        <w:t xml:space="preserve"> 入库专家实行聘任制。每一轮聘期5年。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仿宋_GB2312"/>
          <w:b w:val="0"/>
          <w:bCs w:val="0"/>
          <w:color w:val="auto"/>
          <w:sz w:val="32"/>
          <w:szCs w:val="32"/>
          <w:lang w:val="en-US" w:eastAsia="zh-CN"/>
        </w:rPr>
      </w:pPr>
      <w:r>
        <w:rPr>
          <w:rFonts w:hint="eastAsia" w:ascii="Times New Roman" w:hAnsi="Times New Roman" w:eastAsia="楷体_GB2312" w:cs="楷体_GB2312"/>
          <w:b w:val="0"/>
          <w:bCs w:val="0"/>
          <w:color w:val="auto"/>
          <w:sz w:val="32"/>
          <w:szCs w:val="32"/>
          <w:lang w:val="en-US" w:eastAsia="zh-CN"/>
        </w:rPr>
        <w:t>第十二条</w:t>
      </w:r>
      <w:r>
        <w:rPr>
          <w:rFonts w:hint="eastAsia" w:ascii="Times New Roman" w:hAnsi="Times New Roman" w:eastAsia="仿宋_GB2312" w:cs="仿宋_GB2312"/>
          <w:b w:val="0"/>
          <w:bCs w:val="0"/>
          <w:color w:val="auto"/>
          <w:sz w:val="32"/>
          <w:szCs w:val="32"/>
          <w:lang w:val="en-US" w:eastAsia="zh-CN"/>
        </w:rPr>
        <w:t xml:space="preserve"> 聘期内，入库专家个人基本信息发生变化的，应及时申请变更。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仿宋_GB2312"/>
          <w:b w:val="0"/>
          <w:bCs w:val="0"/>
          <w:color w:val="auto"/>
          <w:sz w:val="32"/>
          <w:szCs w:val="32"/>
          <w:lang w:val="en-US" w:eastAsia="zh-CN"/>
        </w:rPr>
      </w:pPr>
      <w:r>
        <w:rPr>
          <w:rFonts w:hint="eastAsia" w:ascii="Times New Roman" w:hAnsi="Times New Roman" w:eastAsia="楷体_GB2312" w:cs="楷体_GB2312"/>
          <w:b w:val="0"/>
          <w:bCs w:val="0"/>
          <w:color w:val="auto"/>
          <w:sz w:val="32"/>
          <w:szCs w:val="32"/>
          <w:lang w:val="en-US" w:eastAsia="zh-CN"/>
        </w:rPr>
        <w:t>第十三条</w:t>
      </w:r>
      <w:r>
        <w:rPr>
          <w:rFonts w:hint="eastAsia" w:ascii="Times New Roman" w:hAnsi="Times New Roman" w:eastAsia="仿宋_GB2312" w:cs="仿宋_GB2312"/>
          <w:b w:val="0"/>
          <w:bCs w:val="0"/>
          <w:color w:val="auto"/>
          <w:sz w:val="32"/>
          <w:szCs w:val="32"/>
          <w:lang w:val="en-US" w:eastAsia="zh-CN"/>
        </w:rPr>
        <w:t xml:space="preserve"> 入库专家聘期届满的，由自治区民委组织对入库专家资格进行复审。复审通过且入库专家自愿续聘的，经自治区民委批准后履行续聘手续。复审未获通过或无续聘意愿的，予以解聘。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仿宋_GB2312"/>
          <w:b w:val="0"/>
          <w:bCs w:val="0"/>
          <w:color w:val="auto"/>
          <w:sz w:val="32"/>
          <w:szCs w:val="32"/>
          <w:lang w:val="en-US" w:eastAsia="zh-CN"/>
        </w:rPr>
      </w:pPr>
      <w:r>
        <w:rPr>
          <w:rFonts w:hint="eastAsia" w:ascii="Times New Roman" w:hAnsi="Times New Roman" w:eastAsia="楷体_GB2312" w:cs="楷体_GB2312"/>
          <w:b w:val="0"/>
          <w:bCs w:val="0"/>
          <w:color w:val="auto"/>
          <w:sz w:val="32"/>
          <w:szCs w:val="32"/>
          <w:lang w:val="en-US" w:eastAsia="zh-CN"/>
        </w:rPr>
        <w:t>第十四条</w:t>
      </w:r>
      <w:r>
        <w:rPr>
          <w:rFonts w:hint="eastAsia" w:ascii="Times New Roman" w:hAnsi="Times New Roman" w:eastAsia="仿宋_GB2312" w:cs="仿宋_GB2312"/>
          <w:b w:val="0"/>
          <w:bCs w:val="0"/>
          <w:color w:val="auto"/>
          <w:sz w:val="32"/>
          <w:szCs w:val="32"/>
          <w:lang w:val="en-US" w:eastAsia="zh-CN"/>
        </w:rPr>
        <w:t xml:space="preserve"> 入库专家有下列情形之一的，自治区民委将通知其所在单位和本人，予以解聘：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仿宋_GB2312"/>
          <w:b w:val="0"/>
          <w:bCs w:val="0"/>
          <w:color w:val="auto"/>
          <w:sz w:val="32"/>
          <w:szCs w:val="32"/>
          <w:lang w:val="en-US" w:eastAsia="zh-CN"/>
        </w:rPr>
      </w:pPr>
      <w:r>
        <w:rPr>
          <w:rFonts w:hint="eastAsia" w:ascii="Times New Roman" w:hAnsi="Times New Roman" w:eastAsia="仿宋_GB2312" w:cs="仿宋_GB2312"/>
          <w:b w:val="0"/>
          <w:bCs w:val="0"/>
          <w:color w:val="auto"/>
          <w:sz w:val="32"/>
          <w:szCs w:val="32"/>
          <w:lang w:val="en-US" w:eastAsia="zh-CN"/>
        </w:rPr>
        <w:t>（一）因个人情况发生变化不再符合入库专家条件的；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仿宋_GB2312"/>
          <w:b w:val="0"/>
          <w:bCs w:val="0"/>
          <w:color w:val="auto"/>
          <w:sz w:val="32"/>
          <w:szCs w:val="32"/>
          <w:lang w:val="en-US" w:eastAsia="zh-CN"/>
        </w:rPr>
      </w:pPr>
      <w:r>
        <w:rPr>
          <w:rFonts w:hint="eastAsia" w:ascii="Times New Roman" w:hAnsi="Times New Roman" w:eastAsia="仿宋_GB2312" w:cs="仿宋_GB2312"/>
          <w:b w:val="0"/>
          <w:bCs w:val="0"/>
          <w:color w:val="auto"/>
          <w:sz w:val="32"/>
          <w:szCs w:val="32"/>
          <w:lang w:val="en-US" w:eastAsia="zh-CN"/>
        </w:rPr>
        <w:t>（二）受刑事处罚的；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仿宋_GB2312"/>
          <w:b w:val="0"/>
          <w:bCs w:val="0"/>
          <w:color w:val="auto"/>
          <w:sz w:val="32"/>
          <w:szCs w:val="32"/>
          <w:lang w:val="en-US" w:eastAsia="zh-CN"/>
        </w:rPr>
      </w:pPr>
      <w:r>
        <w:rPr>
          <w:rFonts w:hint="eastAsia" w:ascii="Times New Roman" w:hAnsi="Times New Roman" w:eastAsia="仿宋_GB2312" w:cs="仿宋_GB2312"/>
          <w:b w:val="0"/>
          <w:bCs w:val="0"/>
          <w:color w:val="auto"/>
          <w:sz w:val="32"/>
          <w:szCs w:val="32"/>
          <w:lang w:val="en-US" w:eastAsia="zh-CN"/>
        </w:rPr>
        <w:t>（三）严重违反职业操守，徇私舞弊、弄虚作假、谋取私利的；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仿宋_GB2312"/>
          <w:b w:val="0"/>
          <w:bCs w:val="0"/>
          <w:color w:val="auto"/>
          <w:sz w:val="32"/>
          <w:szCs w:val="32"/>
          <w:lang w:val="en-US" w:eastAsia="zh-CN"/>
        </w:rPr>
      </w:pPr>
      <w:r>
        <w:rPr>
          <w:rFonts w:hint="eastAsia" w:ascii="Times New Roman" w:hAnsi="Times New Roman" w:eastAsia="仿宋_GB2312" w:cs="仿宋_GB2312"/>
          <w:b w:val="0"/>
          <w:bCs w:val="0"/>
          <w:color w:val="auto"/>
          <w:sz w:val="32"/>
          <w:szCs w:val="32"/>
          <w:lang w:val="en-US" w:eastAsia="zh-CN"/>
        </w:rPr>
        <w:t>（四）两年内无故不履行工作职责或缺席工作和活动2次及以上的；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仿宋_GB2312"/>
          <w:b w:val="0"/>
          <w:bCs w:val="0"/>
          <w:color w:val="auto"/>
          <w:sz w:val="32"/>
          <w:szCs w:val="32"/>
          <w:lang w:val="en-US" w:eastAsia="zh-CN"/>
        </w:rPr>
      </w:pPr>
      <w:r>
        <w:rPr>
          <w:rFonts w:hint="eastAsia" w:ascii="Times New Roman" w:hAnsi="Times New Roman" w:eastAsia="仿宋_GB2312" w:cs="仿宋_GB2312"/>
          <w:b w:val="0"/>
          <w:bCs w:val="0"/>
          <w:color w:val="auto"/>
          <w:sz w:val="32"/>
          <w:szCs w:val="32"/>
          <w:lang w:val="en-US" w:eastAsia="zh-CN"/>
        </w:rPr>
        <w:t>（五）因健康原因不能胜任专家工作的；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仿宋_GB2312"/>
          <w:b w:val="0"/>
          <w:bCs w:val="0"/>
          <w:color w:val="auto"/>
          <w:sz w:val="32"/>
          <w:szCs w:val="32"/>
          <w:lang w:val="en-US" w:eastAsia="zh-CN"/>
        </w:rPr>
      </w:pPr>
      <w:r>
        <w:rPr>
          <w:rFonts w:hint="eastAsia" w:ascii="Times New Roman" w:hAnsi="Times New Roman" w:eastAsia="仿宋_GB2312" w:cs="仿宋_GB2312"/>
          <w:b w:val="0"/>
          <w:bCs w:val="0"/>
          <w:color w:val="auto"/>
          <w:sz w:val="32"/>
          <w:szCs w:val="32"/>
          <w:lang w:val="en-US" w:eastAsia="zh-CN"/>
        </w:rPr>
        <w:t>（六）公众举报不符合专家资格，经核查属实的；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仿宋_GB2312"/>
          <w:b w:val="0"/>
          <w:bCs w:val="0"/>
          <w:color w:val="auto"/>
          <w:sz w:val="32"/>
          <w:szCs w:val="32"/>
          <w:lang w:val="en-US" w:eastAsia="zh-CN"/>
        </w:rPr>
      </w:pPr>
      <w:r>
        <w:rPr>
          <w:rFonts w:hint="eastAsia" w:ascii="Times New Roman" w:hAnsi="Times New Roman" w:eastAsia="仿宋_GB2312" w:cs="仿宋_GB2312"/>
          <w:b w:val="0"/>
          <w:bCs w:val="0"/>
          <w:color w:val="auto"/>
          <w:sz w:val="32"/>
          <w:szCs w:val="32"/>
          <w:lang w:val="en-US" w:eastAsia="zh-CN"/>
        </w:rPr>
        <w:t>（七）法律、法规规定的其他情形。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仿宋_GB2312"/>
          <w:b w:val="0"/>
          <w:bCs w:val="0"/>
          <w:color w:val="auto"/>
          <w:sz w:val="32"/>
          <w:szCs w:val="32"/>
          <w:lang w:val="en-US" w:eastAsia="zh-CN"/>
        </w:rPr>
      </w:pPr>
      <w:r>
        <w:rPr>
          <w:rFonts w:hint="eastAsia" w:ascii="Times New Roman" w:hAnsi="Times New Roman" w:eastAsia="楷体_GB2312" w:cs="楷体_GB2312"/>
          <w:b w:val="0"/>
          <w:bCs w:val="0"/>
          <w:color w:val="auto"/>
          <w:sz w:val="32"/>
          <w:szCs w:val="32"/>
          <w:lang w:val="en-US" w:eastAsia="zh-CN"/>
        </w:rPr>
        <w:t>第十五条</w:t>
      </w:r>
      <w:r>
        <w:rPr>
          <w:rFonts w:hint="eastAsia" w:ascii="Times New Roman" w:hAnsi="Times New Roman" w:eastAsia="仿宋_GB2312" w:cs="仿宋_GB2312"/>
          <w:b w:val="0"/>
          <w:bCs w:val="0"/>
          <w:color w:val="auto"/>
          <w:sz w:val="32"/>
          <w:szCs w:val="32"/>
          <w:lang w:val="en-US" w:eastAsia="zh-CN"/>
        </w:rPr>
        <w:t xml:space="preserve"> 专家具有本办法第十四条（四）所列情形之一的，自出库之日起2年内不予入库；具有第十四条（二）、（三）、（六）、（七）所列情形之一的，将不再允许入库。</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仿宋_GB2312"/>
          <w:b w:val="0"/>
          <w:bCs w:val="0"/>
          <w:color w:val="auto"/>
          <w:sz w:val="32"/>
          <w:szCs w:val="32"/>
          <w:lang w:val="en-US" w:eastAsia="zh-CN"/>
        </w:rPr>
      </w:pPr>
      <w:r>
        <w:rPr>
          <w:rFonts w:hint="eastAsia" w:ascii="Times New Roman" w:hAnsi="Times New Roman" w:eastAsia="楷体_GB2312" w:cs="楷体_GB2312"/>
          <w:b w:val="0"/>
          <w:bCs w:val="0"/>
          <w:color w:val="auto"/>
          <w:sz w:val="32"/>
          <w:szCs w:val="32"/>
          <w:lang w:val="en-US" w:eastAsia="zh-CN"/>
        </w:rPr>
        <w:t>第十六条</w:t>
      </w:r>
      <w:r>
        <w:rPr>
          <w:rFonts w:hint="eastAsia" w:ascii="Times New Roman" w:hAnsi="Times New Roman" w:eastAsia="仿宋_GB2312" w:cs="仿宋_GB2312"/>
          <w:b w:val="0"/>
          <w:bCs w:val="0"/>
          <w:color w:val="auto"/>
          <w:sz w:val="32"/>
          <w:szCs w:val="32"/>
          <w:lang w:val="en-US" w:eastAsia="zh-CN"/>
        </w:rPr>
        <w:t xml:space="preserve"> 解聘出库的有关人员，不得再以专家库专家身份从事相关活动。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仿宋_GB2312"/>
          <w:b w:val="0"/>
          <w:bCs w:val="0"/>
          <w:color w:val="auto"/>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jc w:val="center"/>
        <w:textAlignment w:val="auto"/>
        <w:rPr>
          <w:rFonts w:hint="eastAsia" w:ascii="Times New Roman" w:hAnsi="Times New Roman" w:eastAsia="黑体" w:cs="黑体"/>
          <w:b w:val="0"/>
          <w:bCs w:val="0"/>
          <w:color w:val="auto"/>
          <w:sz w:val="32"/>
          <w:szCs w:val="32"/>
          <w:lang w:val="en-US" w:eastAsia="zh-CN"/>
        </w:rPr>
      </w:pPr>
      <w:r>
        <w:rPr>
          <w:rFonts w:hint="eastAsia" w:ascii="Times New Roman" w:hAnsi="Times New Roman" w:eastAsia="黑体" w:cs="黑体"/>
          <w:b w:val="0"/>
          <w:bCs w:val="0"/>
          <w:color w:val="auto"/>
          <w:sz w:val="32"/>
          <w:szCs w:val="32"/>
          <w:lang w:val="en-US" w:eastAsia="zh-CN"/>
        </w:rPr>
        <w:t xml:space="preserve"> 附  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default" w:ascii="Times New Roman" w:hAnsi="Times New Roman" w:eastAsia="仿宋_GB2312" w:cs="仿宋_GB2312"/>
          <w:b w:val="0"/>
          <w:bCs w:val="0"/>
          <w:color w:val="auto"/>
          <w:sz w:val="32"/>
          <w:szCs w:val="32"/>
          <w:lang w:val="en-US" w:eastAsia="zh-CN"/>
        </w:rPr>
      </w:pPr>
      <w:r>
        <w:rPr>
          <w:rFonts w:hint="eastAsia" w:ascii="Times New Roman" w:hAnsi="Times New Roman" w:eastAsia="仿宋_GB2312" w:cs="仿宋_GB2312"/>
          <w:b w:val="0"/>
          <w:bCs w:val="0"/>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仿宋_GB2312"/>
          <w:b w:val="0"/>
          <w:bCs w:val="0"/>
          <w:color w:val="auto"/>
          <w:sz w:val="32"/>
          <w:szCs w:val="32"/>
          <w:lang w:val="en-US" w:eastAsia="zh-CN"/>
        </w:rPr>
      </w:pPr>
      <w:r>
        <w:rPr>
          <w:rFonts w:hint="eastAsia" w:ascii="Times New Roman" w:hAnsi="Times New Roman" w:eastAsia="楷体_GB2312" w:cs="楷体_GB2312"/>
          <w:b w:val="0"/>
          <w:bCs w:val="0"/>
          <w:color w:val="auto"/>
          <w:sz w:val="32"/>
          <w:szCs w:val="32"/>
          <w:lang w:val="en-US" w:eastAsia="zh-CN"/>
        </w:rPr>
        <w:t>第十七条</w:t>
      </w:r>
      <w:r>
        <w:rPr>
          <w:rFonts w:hint="eastAsia" w:ascii="Times New Roman" w:hAnsi="Times New Roman" w:eastAsia="仿宋_GB2312" w:cs="仿宋_GB2312"/>
          <w:b w:val="0"/>
          <w:bCs w:val="0"/>
          <w:color w:val="auto"/>
          <w:sz w:val="32"/>
          <w:szCs w:val="32"/>
          <w:lang w:val="en-US" w:eastAsia="zh-CN"/>
        </w:rPr>
        <w:t xml:space="preserve"> 本办法自2023年12月6日施行，有效期为2年。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仿宋_GB2312"/>
          <w:b w:val="0"/>
          <w:bCs w:val="0"/>
          <w:color w:val="auto"/>
          <w:sz w:val="24"/>
          <w:szCs w:val="24"/>
          <w:lang w:val="en-US" w:eastAsia="zh-CN"/>
        </w:rPr>
      </w:pPr>
      <w:r>
        <w:rPr>
          <w:rFonts w:hint="eastAsia" w:ascii="Times New Roman" w:hAnsi="Times New Roman" w:eastAsia="楷体_GB2312" w:cs="楷体_GB2312"/>
          <w:b w:val="0"/>
          <w:bCs w:val="0"/>
          <w:color w:val="auto"/>
          <w:sz w:val="32"/>
          <w:szCs w:val="32"/>
          <w:lang w:val="en-US" w:eastAsia="zh-CN"/>
        </w:rPr>
        <w:t>第十八条</w:t>
      </w:r>
      <w:r>
        <w:rPr>
          <w:rFonts w:hint="eastAsia" w:ascii="Times New Roman" w:hAnsi="Times New Roman" w:eastAsia="仿宋_GB2312" w:cs="仿宋_GB2312"/>
          <w:b w:val="0"/>
          <w:bCs w:val="0"/>
          <w:color w:val="auto"/>
          <w:sz w:val="32"/>
          <w:szCs w:val="32"/>
          <w:lang w:val="en-US" w:eastAsia="zh-CN"/>
        </w:rPr>
        <w:t xml:space="preserve"> 本办法由内蒙古自治区民族事务委员会负责解释。</w:t>
      </w:r>
    </w:p>
    <w:p>
      <w:pPr>
        <w:rPr>
          <w:rFonts w:ascii="Times New Roman" w:hAnsi="Times New Roman"/>
          <w:color w:val="auto"/>
        </w:rPr>
      </w:pPr>
    </w:p>
    <w:p>
      <w:pPr>
        <w:rPr>
          <w:rFonts w:hint="eastAsia" w:ascii="Times New Roman" w:hAnsi="Times New Roman"/>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Times New Roman" w:hAnsi="Times New Roman"/>
          <w:color w:val="auto"/>
          <w:spacing w:val="0"/>
          <w:lang w:val="en-US" w:eastAsia="zh-CN"/>
        </w:rPr>
      </w:pPr>
    </w:p>
    <w:sectPr>
      <w:footerReference r:id="rId4" w:type="first"/>
      <w:footerReference r:id="rId3" w:type="default"/>
      <w:pgSz w:w="11906" w:h="16838"/>
      <w:pgMar w:top="1701" w:right="1474" w:bottom="1474" w:left="1587" w:header="851" w:footer="992" w:gutter="0"/>
      <w:pgBorders>
        <w:top w:val="none" w:sz="0" w:space="0"/>
        <w:left w:val="none" w:sz="0" w:space="0"/>
        <w:bottom w:val="none" w:sz="0" w:space="0"/>
        <w:right w:val="none" w:sz="0" w:space="0"/>
      </w:pgBorders>
      <w:pgNumType w:fmt="decimal"/>
      <w:cols w:space="0" w:num="1"/>
      <w:titlePg/>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Calibri Light">
    <w:altName w:val="DejaVu Sans"/>
    <w:panose1 w:val="00000000000000000000"/>
    <w:charset w:val="00"/>
    <w:family w:val="auto"/>
    <w:pitch w:val="default"/>
    <w:sig w:usb0="00000000" w:usb1="00000000" w:usb2="00000000" w:usb3="00000000" w:csb0="00040001" w:csb1="00000000"/>
  </w:font>
  <w:font w:name="Verdana">
    <w:altName w:val="DejaVu Sans"/>
    <w:panose1 w:val="020B0604030504040204"/>
    <w:charset w:val="00"/>
    <w:family w:val="auto"/>
    <w:pitch w:val="default"/>
    <w:sig w:usb0="00000000" w:usb1="00000000" w:usb2="00000010" w:usb3="00000000" w:csb0="2000019F" w:csb1="00000000"/>
  </w:font>
  <w:font w:name="Tahoma">
    <w:altName w:val="DejaVu Sans"/>
    <w:panose1 w:val="020B0604030504040204"/>
    <w:charset w:val="00"/>
    <w:family w:val="auto"/>
    <w:pitch w:val="default"/>
    <w:sig w:usb0="00000000" w:usb1="00000000"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FZFSK--GBK1-0">
    <w:altName w:val="仿宋"/>
    <w:panose1 w:val="00000000000000000000"/>
    <w:charset w:val="00"/>
    <w:family w:val="roman"/>
    <w:pitch w:val="default"/>
    <w:sig w:usb0="00000000" w:usb1="00000000" w:usb2="00000000" w:usb3="00000000" w:csb0="00040001" w:csb1="00000000"/>
  </w:font>
  <w:font w:name="CESI小标宋-GB2312">
    <w:panose1 w:val="02000500000000000000"/>
    <w:charset w:val="86"/>
    <w:family w:val="auto"/>
    <w:pitch w:val="default"/>
    <w:sig w:usb0="800002AF" w:usb1="084F6CF8" w:usb2="00000010" w:usb3="00000000" w:csb0="0004000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373081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373081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7"/>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w:t>
                    </w:r>
                    <w:r>
                      <w:rPr>
                        <w:sz w:val="28"/>
                        <w:szCs w:val="28"/>
                      </w:rPr>
                      <w:fldChar w:fldCharType="end"/>
                    </w:r>
                    <w:r>
                      <w:rPr>
                        <w:sz w:val="28"/>
                        <w:szCs w:val="28"/>
                      </w:rPr>
                      <w:t xml:space="preserve"> —</w:t>
                    </w:r>
                  </w:p>
                </w:txbxContent>
              </v:textbox>
            </v:shape>
          </w:pict>
        </mc:Fallback>
      </mc:AlternateContent>
    </w:r>
    <w:r>
      <w:rPr>
        <w:rFonts w:ascii="Times New Roman" w:hAnsi="Times New Roman" w:eastAsia="宋体" w:cs="Times New Roman"/>
        <w:kern w:val="2"/>
        <w:sz w:val="18"/>
        <w:szCs w:val="20"/>
        <w:lang w:val="en-US" w:eastAsia="zh-CN" w:bidi="ar-SA"/>
      </w:rPr>
      <mc:AlternateContent>
        <mc:Choice Requires="wps">
          <w:drawing>
            <wp:anchor distT="0" distB="0" distL="114300" distR="114300" simplePos="0" relativeHeight="25395712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hint="eastAsia" w:eastAsia="宋体"/>
                              <w:sz w:val="18"/>
                              <w:lang w:eastAsia="zh-CN"/>
                            </w:rPr>
                          </w:pP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395712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YUWo7bQBAABSAwAADgAAAAAAAAABACAAAAA0AQAAZHJzL2Uyb0Rv&#10;Yy54bWxQSwUGAAAAAAYABgBZAQAAWgUAAAAA&#10;">
              <v:fill on="f" focussize="0,0"/>
              <v:stroke on="f"/>
              <v:imagedata o:title=""/>
              <o:lock v:ext="edit" aspectratio="f"/>
              <v:textbox inset="0mm,0mm,0mm,0mm" style="mso-fit-shape-to-text:t;">
                <w:txbxContent>
                  <w:p>
                    <w:pPr>
                      <w:snapToGrid w:val="0"/>
                      <w:rPr>
                        <w:rFonts w:hint="eastAsia" w:eastAsia="宋体"/>
                        <w:sz w:val="18"/>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534054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534054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7"/>
                    </w:pPr>
                  </w:p>
                </w:txbxContent>
              </v:textbox>
            </v:shape>
          </w:pict>
        </mc:Fallback>
      </mc:AlternateContent>
    </w:r>
    <w:r>
      <w:rPr>
        <w:sz w:val="18"/>
      </w:rPr>
      <mc:AlternateContent>
        <mc:Choice Requires="wps">
          <w:drawing>
            <wp:anchor distT="0" distB="0" distL="114300" distR="114300" simplePos="0" relativeHeight="255338496"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sz w:val="28"/>
                              <w:szCs w:val="28"/>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533849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BEOMHAIAACkEAAAOAAAAZHJz&#10;L2Uyb0RvYy54bWytU82O0zAQviPxDpbvNGkRu1X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wRDjBwCAAApBAAADgAAAAAAAAABACAAAAA1AQAAZHJzL2Uyb0RvYy54bWxQSwUG&#10;AAAAAAYABgBZAQAAwwUAAAAA&#10;">
              <v:fill on="f" focussize="0,0"/>
              <v:stroke on="f" weight="0.5pt"/>
              <v:imagedata o:title=""/>
              <o:lock v:ext="edit" aspectratio="f"/>
              <v:textbox inset="0mm,0mm,0mm,0mm" style="mso-fit-shape-to-text:t;">
                <w:txbxContent>
                  <w:p>
                    <w:pPr>
                      <w:pStyle w:val="7"/>
                      <w:rPr>
                        <w:sz w:val="28"/>
                        <w:szCs w:val="28"/>
                      </w:rPr>
                    </w:pPr>
                  </w:p>
                </w:txbxContent>
              </v:textbox>
            </v:shape>
          </w:pict>
        </mc:Fallback>
      </mc:AlternateContent>
    </w:r>
    <w:r>
      <w:rPr>
        <w:sz w:val="18"/>
      </w:rPr>
      <mc:AlternateContent>
        <mc:Choice Requires="wps">
          <w:drawing>
            <wp:anchor distT="0" distB="0" distL="114300" distR="114300" simplePos="0" relativeHeight="25533747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533747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7"/>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4664"/>
    <w:multiLevelType w:val="singleLevel"/>
    <w:tmpl w:val="FFFF4664"/>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VerticalSpacing w:val="164"/>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4DA"/>
    <w:rsid w:val="00002629"/>
    <w:rsid w:val="00003CF3"/>
    <w:rsid w:val="00094FCF"/>
    <w:rsid w:val="0010104B"/>
    <w:rsid w:val="00114BCF"/>
    <w:rsid w:val="001269C0"/>
    <w:rsid w:val="001533DB"/>
    <w:rsid w:val="001C70C1"/>
    <w:rsid w:val="001E7207"/>
    <w:rsid w:val="00374981"/>
    <w:rsid w:val="003848BD"/>
    <w:rsid w:val="00444FE4"/>
    <w:rsid w:val="004D053E"/>
    <w:rsid w:val="00520F28"/>
    <w:rsid w:val="005F596A"/>
    <w:rsid w:val="00612ECF"/>
    <w:rsid w:val="006236B5"/>
    <w:rsid w:val="006C7ABF"/>
    <w:rsid w:val="006C7F3A"/>
    <w:rsid w:val="00734740"/>
    <w:rsid w:val="00862475"/>
    <w:rsid w:val="008637A7"/>
    <w:rsid w:val="00866B93"/>
    <w:rsid w:val="009D74DA"/>
    <w:rsid w:val="00A80B44"/>
    <w:rsid w:val="00A9158D"/>
    <w:rsid w:val="00B4108A"/>
    <w:rsid w:val="00C20284"/>
    <w:rsid w:val="00C411C5"/>
    <w:rsid w:val="00C60776"/>
    <w:rsid w:val="00C61959"/>
    <w:rsid w:val="00D061AC"/>
    <w:rsid w:val="00D06D32"/>
    <w:rsid w:val="00D109D7"/>
    <w:rsid w:val="00D24537"/>
    <w:rsid w:val="00DD572E"/>
    <w:rsid w:val="00E61F59"/>
    <w:rsid w:val="00E62B3A"/>
    <w:rsid w:val="011B5B9F"/>
    <w:rsid w:val="01A82966"/>
    <w:rsid w:val="01E21AA4"/>
    <w:rsid w:val="02B8453D"/>
    <w:rsid w:val="02BE5A47"/>
    <w:rsid w:val="02F94308"/>
    <w:rsid w:val="03B15A89"/>
    <w:rsid w:val="03EE77C8"/>
    <w:rsid w:val="04726D45"/>
    <w:rsid w:val="04C46968"/>
    <w:rsid w:val="04F65827"/>
    <w:rsid w:val="05231BE9"/>
    <w:rsid w:val="06F52351"/>
    <w:rsid w:val="072022E7"/>
    <w:rsid w:val="08113075"/>
    <w:rsid w:val="08600EF3"/>
    <w:rsid w:val="08802C7F"/>
    <w:rsid w:val="088A2F5B"/>
    <w:rsid w:val="089C4AB1"/>
    <w:rsid w:val="099655CF"/>
    <w:rsid w:val="09C20C14"/>
    <w:rsid w:val="09D45D47"/>
    <w:rsid w:val="09F92569"/>
    <w:rsid w:val="0A4A1823"/>
    <w:rsid w:val="0A6F01E9"/>
    <w:rsid w:val="0ABE7349"/>
    <w:rsid w:val="0C386723"/>
    <w:rsid w:val="0CAB076F"/>
    <w:rsid w:val="0D5B7510"/>
    <w:rsid w:val="0EA74031"/>
    <w:rsid w:val="0EFC4178"/>
    <w:rsid w:val="1087578A"/>
    <w:rsid w:val="10C95D7D"/>
    <w:rsid w:val="113D29D7"/>
    <w:rsid w:val="11AE81C2"/>
    <w:rsid w:val="126034F3"/>
    <w:rsid w:val="12A642A3"/>
    <w:rsid w:val="12CC4BAE"/>
    <w:rsid w:val="13F38A3F"/>
    <w:rsid w:val="14195FE3"/>
    <w:rsid w:val="143164FD"/>
    <w:rsid w:val="14F75A4A"/>
    <w:rsid w:val="1587676C"/>
    <w:rsid w:val="15CA06C0"/>
    <w:rsid w:val="15E1781A"/>
    <w:rsid w:val="15FFE8CE"/>
    <w:rsid w:val="168D2D38"/>
    <w:rsid w:val="16F5D994"/>
    <w:rsid w:val="170A4B8B"/>
    <w:rsid w:val="171FA168"/>
    <w:rsid w:val="17B96B24"/>
    <w:rsid w:val="17C07310"/>
    <w:rsid w:val="18201244"/>
    <w:rsid w:val="182029FB"/>
    <w:rsid w:val="18472B26"/>
    <w:rsid w:val="18A76CF6"/>
    <w:rsid w:val="18DF05A6"/>
    <w:rsid w:val="195D5190"/>
    <w:rsid w:val="1988203F"/>
    <w:rsid w:val="19EFE48B"/>
    <w:rsid w:val="1A202F88"/>
    <w:rsid w:val="1A414898"/>
    <w:rsid w:val="1B237340"/>
    <w:rsid w:val="1B6FC3A9"/>
    <w:rsid w:val="1BCFC4CA"/>
    <w:rsid w:val="1BEAD22D"/>
    <w:rsid w:val="1C01395D"/>
    <w:rsid w:val="1C015264"/>
    <w:rsid w:val="1C482BE9"/>
    <w:rsid w:val="1C6F1048"/>
    <w:rsid w:val="1CCF7824"/>
    <w:rsid w:val="1CEC57AC"/>
    <w:rsid w:val="1D647A42"/>
    <w:rsid w:val="1D807824"/>
    <w:rsid w:val="1D853117"/>
    <w:rsid w:val="1D9071D8"/>
    <w:rsid w:val="1E763B2B"/>
    <w:rsid w:val="1F334009"/>
    <w:rsid w:val="1F7E0B42"/>
    <w:rsid w:val="1F83E4C5"/>
    <w:rsid w:val="1F931A6A"/>
    <w:rsid w:val="1FA6BA28"/>
    <w:rsid w:val="1FBDA7D8"/>
    <w:rsid w:val="1FCDC240"/>
    <w:rsid w:val="1FCE2FF9"/>
    <w:rsid w:val="1FF6D272"/>
    <w:rsid w:val="1FFAF452"/>
    <w:rsid w:val="1FFED016"/>
    <w:rsid w:val="1FFF45EB"/>
    <w:rsid w:val="1FFF5150"/>
    <w:rsid w:val="1FFF52F9"/>
    <w:rsid w:val="20057384"/>
    <w:rsid w:val="21227A5D"/>
    <w:rsid w:val="21346674"/>
    <w:rsid w:val="223E0991"/>
    <w:rsid w:val="22630115"/>
    <w:rsid w:val="228A42B0"/>
    <w:rsid w:val="22A47AAA"/>
    <w:rsid w:val="22AF1919"/>
    <w:rsid w:val="22B521DE"/>
    <w:rsid w:val="231FA555"/>
    <w:rsid w:val="237773E3"/>
    <w:rsid w:val="23E31004"/>
    <w:rsid w:val="240A1637"/>
    <w:rsid w:val="24A345AA"/>
    <w:rsid w:val="24AC3C7F"/>
    <w:rsid w:val="24B87594"/>
    <w:rsid w:val="24FD074F"/>
    <w:rsid w:val="253209D9"/>
    <w:rsid w:val="262C3B74"/>
    <w:rsid w:val="267A4B74"/>
    <w:rsid w:val="270E7D45"/>
    <w:rsid w:val="27547F5B"/>
    <w:rsid w:val="275F2848"/>
    <w:rsid w:val="27EA1B86"/>
    <w:rsid w:val="28EF40B9"/>
    <w:rsid w:val="294416DA"/>
    <w:rsid w:val="295A760F"/>
    <w:rsid w:val="29F84CE8"/>
    <w:rsid w:val="2A12200E"/>
    <w:rsid w:val="2A316D69"/>
    <w:rsid w:val="2A716D6C"/>
    <w:rsid w:val="2ADD02C3"/>
    <w:rsid w:val="2B563918"/>
    <w:rsid w:val="2B6F3F6A"/>
    <w:rsid w:val="2BA36AF4"/>
    <w:rsid w:val="2BFF30D8"/>
    <w:rsid w:val="2C9631D4"/>
    <w:rsid w:val="2C9D3D97"/>
    <w:rsid w:val="2CED9374"/>
    <w:rsid w:val="2DED62FF"/>
    <w:rsid w:val="2DFE3C37"/>
    <w:rsid w:val="2E2B163D"/>
    <w:rsid w:val="2E6E2F1F"/>
    <w:rsid w:val="2E9230E2"/>
    <w:rsid w:val="2E93179A"/>
    <w:rsid w:val="2EA23550"/>
    <w:rsid w:val="2F792D38"/>
    <w:rsid w:val="2FA9C67C"/>
    <w:rsid w:val="2FABA3FC"/>
    <w:rsid w:val="2FBF6EB7"/>
    <w:rsid w:val="2FDA00AF"/>
    <w:rsid w:val="2FEBA42A"/>
    <w:rsid w:val="30B26D69"/>
    <w:rsid w:val="311A4ABE"/>
    <w:rsid w:val="31615A7F"/>
    <w:rsid w:val="32D04763"/>
    <w:rsid w:val="32E61E29"/>
    <w:rsid w:val="32FF3118"/>
    <w:rsid w:val="334324FF"/>
    <w:rsid w:val="339A5D77"/>
    <w:rsid w:val="339D7115"/>
    <w:rsid w:val="35CFC737"/>
    <w:rsid w:val="35FE27BF"/>
    <w:rsid w:val="363635F5"/>
    <w:rsid w:val="3666167F"/>
    <w:rsid w:val="36FD53BA"/>
    <w:rsid w:val="36FD8949"/>
    <w:rsid w:val="375227E4"/>
    <w:rsid w:val="37F3B862"/>
    <w:rsid w:val="38717544"/>
    <w:rsid w:val="395F8073"/>
    <w:rsid w:val="39C6D2CB"/>
    <w:rsid w:val="39C96C4F"/>
    <w:rsid w:val="39ED4BAD"/>
    <w:rsid w:val="39EE5DBF"/>
    <w:rsid w:val="39FB9FDA"/>
    <w:rsid w:val="3BA5FDA7"/>
    <w:rsid w:val="3C730DA6"/>
    <w:rsid w:val="3CA13C99"/>
    <w:rsid w:val="3CAB1C7C"/>
    <w:rsid w:val="3CAF758B"/>
    <w:rsid w:val="3CBF49D0"/>
    <w:rsid w:val="3CD20AB9"/>
    <w:rsid w:val="3CD705D0"/>
    <w:rsid w:val="3CE7D6F1"/>
    <w:rsid w:val="3D1D777F"/>
    <w:rsid w:val="3D576CBE"/>
    <w:rsid w:val="3D7E259B"/>
    <w:rsid w:val="3D7F3F53"/>
    <w:rsid w:val="3D97AE87"/>
    <w:rsid w:val="3DDDCB2C"/>
    <w:rsid w:val="3DDF0C5C"/>
    <w:rsid w:val="3E1170BA"/>
    <w:rsid w:val="3E2302E9"/>
    <w:rsid w:val="3E3C6F46"/>
    <w:rsid w:val="3EEF93C8"/>
    <w:rsid w:val="3EFF7BC9"/>
    <w:rsid w:val="3F153CCC"/>
    <w:rsid w:val="3F1CA1A0"/>
    <w:rsid w:val="3F1F4B6A"/>
    <w:rsid w:val="3F2159D7"/>
    <w:rsid w:val="3F36FB62"/>
    <w:rsid w:val="3F55C31E"/>
    <w:rsid w:val="3F5F52A8"/>
    <w:rsid w:val="3F74E5B8"/>
    <w:rsid w:val="3F7CB2E7"/>
    <w:rsid w:val="3F9A3FB9"/>
    <w:rsid w:val="3FAE2E1E"/>
    <w:rsid w:val="3FBFF37D"/>
    <w:rsid w:val="3FCB4123"/>
    <w:rsid w:val="3FCF1E19"/>
    <w:rsid w:val="3FE929F3"/>
    <w:rsid w:val="401075C3"/>
    <w:rsid w:val="40114673"/>
    <w:rsid w:val="40C16F33"/>
    <w:rsid w:val="41706477"/>
    <w:rsid w:val="423D0205"/>
    <w:rsid w:val="4283431A"/>
    <w:rsid w:val="4323767C"/>
    <w:rsid w:val="44062E97"/>
    <w:rsid w:val="44105B1C"/>
    <w:rsid w:val="446B0775"/>
    <w:rsid w:val="447662AA"/>
    <w:rsid w:val="44B64FB4"/>
    <w:rsid w:val="44F84D3A"/>
    <w:rsid w:val="450E6EA7"/>
    <w:rsid w:val="452E0561"/>
    <w:rsid w:val="45C51E52"/>
    <w:rsid w:val="460030EC"/>
    <w:rsid w:val="467D2B4B"/>
    <w:rsid w:val="46F61998"/>
    <w:rsid w:val="47134CFB"/>
    <w:rsid w:val="477E4F1D"/>
    <w:rsid w:val="47800E80"/>
    <w:rsid w:val="4793309D"/>
    <w:rsid w:val="488974CE"/>
    <w:rsid w:val="49180AAE"/>
    <w:rsid w:val="4956124F"/>
    <w:rsid w:val="4A7FFBB5"/>
    <w:rsid w:val="4A9D5863"/>
    <w:rsid w:val="4AE233FA"/>
    <w:rsid w:val="4B015476"/>
    <w:rsid w:val="4B6F9B28"/>
    <w:rsid w:val="4B7EAD28"/>
    <w:rsid w:val="4BDE6AE2"/>
    <w:rsid w:val="4BF74A26"/>
    <w:rsid w:val="4C1733EA"/>
    <w:rsid w:val="4C5C5801"/>
    <w:rsid w:val="4C7D2116"/>
    <w:rsid w:val="4CDE116F"/>
    <w:rsid w:val="4CEBC073"/>
    <w:rsid w:val="4DC511D0"/>
    <w:rsid w:val="4DCB8844"/>
    <w:rsid w:val="4DDF8EF6"/>
    <w:rsid w:val="4DE3641F"/>
    <w:rsid w:val="4DF46C96"/>
    <w:rsid w:val="4E3757EB"/>
    <w:rsid w:val="4E3E05AF"/>
    <w:rsid w:val="4EDF87CB"/>
    <w:rsid w:val="4EF345DC"/>
    <w:rsid w:val="4F3079DF"/>
    <w:rsid w:val="4F5F664E"/>
    <w:rsid w:val="4F7AA841"/>
    <w:rsid w:val="4FB61B0C"/>
    <w:rsid w:val="4FBF0BFF"/>
    <w:rsid w:val="4FFE2355"/>
    <w:rsid w:val="50234E1A"/>
    <w:rsid w:val="50D25843"/>
    <w:rsid w:val="50F9490F"/>
    <w:rsid w:val="514C0729"/>
    <w:rsid w:val="5173188E"/>
    <w:rsid w:val="517ED63D"/>
    <w:rsid w:val="518B6B20"/>
    <w:rsid w:val="51DC488F"/>
    <w:rsid w:val="526948D9"/>
    <w:rsid w:val="53296A09"/>
    <w:rsid w:val="53616374"/>
    <w:rsid w:val="53713FA0"/>
    <w:rsid w:val="538A41C4"/>
    <w:rsid w:val="53B51A24"/>
    <w:rsid w:val="53BF878D"/>
    <w:rsid w:val="547F39DF"/>
    <w:rsid w:val="54D51C55"/>
    <w:rsid w:val="567F577A"/>
    <w:rsid w:val="56976E07"/>
    <w:rsid w:val="56BA0609"/>
    <w:rsid w:val="57EB9CEF"/>
    <w:rsid w:val="57EFDA42"/>
    <w:rsid w:val="581C9BF3"/>
    <w:rsid w:val="58567318"/>
    <w:rsid w:val="58BE144D"/>
    <w:rsid w:val="58E042A6"/>
    <w:rsid w:val="58E610FA"/>
    <w:rsid w:val="58E67A75"/>
    <w:rsid w:val="58EC7DD9"/>
    <w:rsid w:val="591747A7"/>
    <w:rsid w:val="594F3C21"/>
    <w:rsid w:val="597F1868"/>
    <w:rsid w:val="59951561"/>
    <w:rsid w:val="59B22A26"/>
    <w:rsid w:val="59F504CC"/>
    <w:rsid w:val="5A7658E8"/>
    <w:rsid w:val="5A7A370B"/>
    <w:rsid w:val="5A927D09"/>
    <w:rsid w:val="5AEFDF39"/>
    <w:rsid w:val="5B2C5BC0"/>
    <w:rsid w:val="5BAF1877"/>
    <w:rsid w:val="5BD711B4"/>
    <w:rsid w:val="5BF54422"/>
    <w:rsid w:val="5BFE102C"/>
    <w:rsid w:val="5C6052FF"/>
    <w:rsid w:val="5C76FDA5"/>
    <w:rsid w:val="5CD775F2"/>
    <w:rsid w:val="5D064919"/>
    <w:rsid w:val="5D284E2E"/>
    <w:rsid w:val="5D33404B"/>
    <w:rsid w:val="5D9DA2D7"/>
    <w:rsid w:val="5D9F5CBA"/>
    <w:rsid w:val="5DFFD377"/>
    <w:rsid w:val="5E7143B3"/>
    <w:rsid w:val="5E7C7F13"/>
    <w:rsid w:val="5ECFF664"/>
    <w:rsid w:val="5EEF0E62"/>
    <w:rsid w:val="5EFD5D6C"/>
    <w:rsid w:val="5F3AC453"/>
    <w:rsid w:val="5F4B6B6D"/>
    <w:rsid w:val="5F7DF452"/>
    <w:rsid w:val="5F83139A"/>
    <w:rsid w:val="5F960D23"/>
    <w:rsid w:val="5FBF0AD0"/>
    <w:rsid w:val="5FC73C1F"/>
    <w:rsid w:val="5FEFBBFA"/>
    <w:rsid w:val="5FF75708"/>
    <w:rsid w:val="5FFB2E35"/>
    <w:rsid w:val="5FFD68E9"/>
    <w:rsid w:val="5FFF0072"/>
    <w:rsid w:val="5FFF2521"/>
    <w:rsid w:val="60425E5B"/>
    <w:rsid w:val="60F102A6"/>
    <w:rsid w:val="62113E1F"/>
    <w:rsid w:val="627F1F7E"/>
    <w:rsid w:val="62B7569B"/>
    <w:rsid w:val="62F4F50C"/>
    <w:rsid w:val="63503318"/>
    <w:rsid w:val="636470AE"/>
    <w:rsid w:val="63DF6DD5"/>
    <w:rsid w:val="64F54540"/>
    <w:rsid w:val="64FD1C90"/>
    <w:rsid w:val="657656B6"/>
    <w:rsid w:val="65FE56CF"/>
    <w:rsid w:val="66B55414"/>
    <w:rsid w:val="66B72AE7"/>
    <w:rsid w:val="66B76D87"/>
    <w:rsid w:val="66C770BD"/>
    <w:rsid w:val="66F11D1B"/>
    <w:rsid w:val="66F34909"/>
    <w:rsid w:val="673B2E5E"/>
    <w:rsid w:val="67815649"/>
    <w:rsid w:val="67874BE3"/>
    <w:rsid w:val="67C924ED"/>
    <w:rsid w:val="67F731AD"/>
    <w:rsid w:val="67FD18E2"/>
    <w:rsid w:val="67FEC0E7"/>
    <w:rsid w:val="685D445D"/>
    <w:rsid w:val="68756B1B"/>
    <w:rsid w:val="699A28F2"/>
    <w:rsid w:val="6A114C13"/>
    <w:rsid w:val="6A14578F"/>
    <w:rsid w:val="6A6F3169"/>
    <w:rsid w:val="6B4B04E4"/>
    <w:rsid w:val="6B696785"/>
    <w:rsid w:val="6B7E2B8B"/>
    <w:rsid w:val="6B827DA0"/>
    <w:rsid w:val="6B8BA9AE"/>
    <w:rsid w:val="6BC30AF4"/>
    <w:rsid w:val="6BF236F6"/>
    <w:rsid w:val="6BFB2C7C"/>
    <w:rsid w:val="6BFE3D37"/>
    <w:rsid w:val="6D0C0219"/>
    <w:rsid w:val="6D112743"/>
    <w:rsid w:val="6D1FBA2A"/>
    <w:rsid w:val="6D2F0666"/>
    <w:rsid w:val="6D97609F"/>
    <w:rsid w:val="6DE766EE"/>
    <w:rsid w:val="6DE953B7"/>
    <w:rsid w:val="6DF2581C"/>
    <w:rsid w:val="6DFC389B"/>
    <w:rsid w:val="6E368097"/>
    <w:rsid w:val="6E3E7E02"/>
    <w:rsid w:val="6E89096D"/>
    <w:rsid w:val="6EAB23C2"/>
    <w:rsid w:val="6EEED647"/>
    <w:rsid w:val="6EF73B12"/>
    <w:rsid w:val="6F175E9A"/>
    <w:rsid w:val="6F1F0834"/>
    <w:rsid w:val="6F3742D1"/>
    <w:rsid w:val="6F401DD2"/>
    <w:rsid w:val="6F4E1BC3"/>
    <w:rsid w:val="6F7AE43A"/>
    <w:rsid w:val="6F7B9A55"/>
    <w:rsid w:val="6F812945"/>
    <w:rsid w:val="6FBF357C"/>
    <w:rsid w:val="6FC36A52"/>
    <w:rsid w:val="6FD78B67"/>
    <w:rsid w:val="6FDB7052"/>
    <w:rsid w:val="6FE7323F"/>
    <w:rsid w:val="6FE74A5B"/>
    <w:rsid w:val="6FEDE914"/>
    <w:rsid w:val="6FF41EC5"/>
    <w:rsid w:val="6FFBD390"/>
    <w:rsid w:val="6FFFA775"/>
    <w:rsid w:val="70111BA8"/>
    <w:rsid w:val="707B39A4"/>
    <w:rsid w:val="708D6033"/>
    <w:rsid w:val="70F77E7F"/>
    <w:rsid w:val="719F2C30"/>
    <w:rsid w:val="71CA3BAF"/>
    <w:rsid w:val="71DF83C5"/>
    <w:rsid w:val="72010BE0"/>
    <w:rsid w:val="72147A9F"/>
    <w:rsid w:val="721C1370"/>
    <w:rsid w:val="726E7644"/>
    <w:rsid w:val="728B675C"/>
    <w:rsid w:val="729B159B"/>
    <w:rsid w:val="72EC0618"/>
    <w:rsid w:val="72FD6666"/>
    <w:rsid w:val="73097BCC"/>
    <w:rsid w:val="739D9FBD"/>
    <w:rsid w:val="73B379EF"/>
    <w:rsid w:val="73BDE008"/>
    <w:rsid w:val="73EE255A"/>
    <w:rsid w:val="73FFE93E"/>
    <w:rsid w:val="740A4FFD"/>
    <w:rsid w:val="744C47A5"/>
    <w:rsid w:val="74C343D5"/>
    <w:rsid w:val="74EBB58C"/>
    <w:rsid w:val="759D421F"/>
    <w:rsid w:val="759F4B70"/>
    <w:rsid w:val="75BC6856"/>
    <w:rsid w:val="75DD27A3"/>
    <w:rsid w:val="75DEC95D"/>
    <w:rsid w:val="75EB089D"/>
    <w:rsid w:val="75F5E0A8"/>
    <w:rsid w:val="75F7FEE0"/>
    <w:rsid w:val="761B0EE1"/>
    <w:rsid w:val="762B25BC"/>
    <w:rsid w:val="76393E51"/>
    <w:rsid w:val="76932AA6"/>
    <w:rsid w:val="76AE40F0"/>
    <w:rsid w:val="76AF397C"/>
    <w:rsid w:val="76E68F87"/>
    <w:rsid w:val="76EFE317"/>
    <w:rsid w:val="773F14F7"/>
    <w:rsid w:val="775D7AEE"/>
    <w:rsid w:val="777F12DE"/>
    <w:rsid w:val="778DA45F"/>
    <w:rsid w:val="779BA483"/>
    <w:rsid w:val="77BD1137"/>
    <w:rsid w:val="77C11E16"/>
    <w:rsid w:val="77DCAE7F"/>
    <w:rsid w:val="77DDC611"/>
    <w:rsid w:val="77F12988"/>
    <w:rsid w:val="77F86104"/>
    <w:rsid w:val="77FFCAD0"/>
    <w:rsid w:val="78781525"/>
    <w:rsid w:val="78E881BA"/>
    <w:rsid w:val="79422032"/>
    <w:rsid w:val="79C66F97"/>
    <w:rsid w:val="79FBEA30"/>
    <w:rsid w:val="7A665604"/>
    <w:rsid w:val="7A7F716F"/>
    <w:rsid w:val="7A9E7777"/>
    <w:rsid w:val="7AEFDA7A"/>
    <w:rsid w:val="7AF44337"/>
    <w:rsid w:val="7AF9B3AB"/>
    <w:rsid w:val="7AFE2055"/>
    <w:rsid w:val="7AFF9373"/>
    <w:rsid w:val="7B0B0FB3"/>
    <w:rsid w:val="7B1A5303"/>
    <w:rsid w:val="7B306C3D"/>
    <w:rsid w:val="7B3F6922"/>
    <w:rsid w:val="7B6F3410"/>
    <w:rsid w:val="7B7F7ED2"/>
    <w:rsid w:val="7B7FA2DC"/>
    <w:rsid w:val="7B9E8FE1"/>
    <w:rsid w:val="7BD95846"/>
    <w:rsid w:val="7BE646F3"/>
    <w:rsid w:val="7BFE42A6"/>
    <w:rsid w:val="7C5F0E23"/>
    <w:rsid w:val="7C5F758A"/>
    <w:rsid w:val="7CA2A9BF"/>
    <w:rsid w:val="7CBFAE20"/>
    <w:rsid w:val="7CC9D9B2"/>
    <w:rsid w:val="7CD453FC"/>
    <w:rsid w:val="7CF3F8EA"/>
    <w:rsid w:val="7CFBE4AD"/>
    <w:rsid w:val="7CFF56D2"/>
    <w:rsid w:val="7D2B642C"/>
    <w:rsid w:val="7D6FEAD0"/>
    <w:rsid w:val="7D73DAAE"/>
    <w:rsid w:val="7D776FB7"/>
    <w:rsid w:val="7D7F6DBD"/>
    <w:rsid w:val="7D9774F0"/>
    <w:rsid w:val="7DD7EBE7"/>
    <w:rsid w:val="7DD7FFC0"/>
    <w:rsid w:val="7DE90B64"/>
    <w:rsid w:val="7DEBB46A"/>
    <w:rsid w:val="7DFDF6EF"/>
    <w:rsid w:val="7DFFFC21"/>
    <w:rsid w:val="7DFFFE8E"/>
    <w:rsid w:val="7E234F30"/>
    <w:rsid w:val="7E6F8B2B"/>
    <w:rsid w:val="7E7D2D15"/>
    <w:rsid w:val="7E9C9402"/>
    <w:rsid w:val="7EBFC2AD"/>
    <w:rsid w:val="7ED35036"/>
    <w:rsid w:val="7EEE9E46"/>
    <w:rsid w:val="7EEF97F1"/>
    <w:rsid w:val="7EFEBC0C"/>
    <w:rsid w:val="7F0BAD60"/>
    <w:rsid w:val="7F1545EB"/>
    <w:rsid w:val="7F254E5E"/>
    <w:rsid w:val="7F2F80CC"/>
    <w:rsid w:val="7F3C7709"/>
    <w:rsid w:val="7F3E9D05"/>
    <w:rsid w:val="7F3F71C8"/>
    <w:rsid w:val="7F573303"/>
    <w:rsid w:val="7F5F24EA"/>
    <w:rsid w:val="7F622E0E"/>
    <w:rsid w:val="7F6E3994"/>
    <w:rsid w:val="7F76520D"/>
    <w:rsid w:val="7F77BC78"/>
    <w:rsid w:val="7F7A2AB1"/>
    <w:rsid w:val="7F89A311"/>
    <w:rsid w:val="7FB6E992"/>
    <w:rsid w:val="7FB759A4"/>
    <w:rsid w:val="7FB777B5"/>
    <w:rsid w:val="7FB7AD27"/>
    <w:rsid w:val="7FB7C5B1"/>
    <w:rsid w:val="7FBD4792"/>
    <w:rsid w:val="7FBD9B03"/>
    <w:rsid w:val="7FBF788A"/>
    <w:rsid w:val="7FC3E65A"/>
    <w:rsid w:val="7FCB0EAC"/>
    <w:rsid w:val="7FCD6B25"/>
    <w:rsid w:val="7FD77E20"/>
    <w:rsid w:val="7FDF3A45"/>
    <w:rsid w:val="7FDFFE06"/>
    <w:rsid w:val="7FE5D2AE"/>
    <w:rsid w:val="7FE6F96F"/>
    <w:rsid w:val="7FE8FC4E"/>
    <w:rsid w:val="7FEB7045"/>
    <w:rsid w:val="7FF37891"/>
    <w:rsid w:val="7FF674A2"/>
    <w:rsid w:val="7FFB8818"/>
    <w:rsid w:val="7FFD8ABC"/>
    <w:rsid w:val="7FFF1754"/>
    <w:rsid w:val="7FFF5F53"/>
    <w:rsid w:val="7FFF9ED0"/>
    <w:rsid w:val="7FFFC24B"/>
    <w:rsid w:val="8F5E63D9"/>
    <w:rsid w:val="8F7FE5E0"/>
    <w:rsid w:val="8FBF2A2D"/>
    <w:rsid w:val="8FBF6BE6"/>
    <w:rsid w:val="8FFB115D"/>
    <w:rsid w:val="8FFF0907"/>
    <w:rsid w:val="93FF62C5"/>
    <w:rsid w:val="95CF0BBB"/>
    <w:rsid w:val="963DC65C"/>
    <w:rsid w:val="96E6EB33"/>
    <w:rsid w:val="975E3956"/>
    <w:rsid w:val="9776A49A"/>
    <w:rsid w:val="979DAA50"/>
    <w:rsid w:val="97FB895B"/>
    <w:rsid w:val="99DD88ED"/>
    <w:rsid w:val="9BBB48D6"/>
    <w:rsid w:val="9BDB4CA5"/>
    <w:rsid w:val="9DDFA193"/>
    <w:rsid w:val="9E7DA197"/>
    <w:rsid w:val="9FCFB1B5"/>
    <w:rsid w:val="9FFBD320"/>
    <w:rsid w:val="A2FE97E7"/>
    <w:rsid w:val="A79D56C0"/>
    <w:rsid w:val="ADBF75BD"/>
    <w:rsid w:val="AE6F87AD"/>
    <w:rsid w:val="AE7654D9"/>
    <w:rsid w:val="AFDF1E70"/>
    <w:rsid w:val="AFEFB180"/>
    <w:rsid w:val="AFFA1491"/>
    <w:rsid w:val="AFFBD9DA"/>
    <w:rsid w:val="B0DD545B"/>
    <w:rsid w:val="B26E603A"/>
    <w:rsid w:val="B35F3461"/>
    <w:rsid w:val="B3BF4D48"/>
    <w:rsid w:val="B3DDE85B"/>
    <w:rsid w:val="B57FB4D9"/>
    <w:rsid w:val="B5DFA463"/>
    <w:rsid w:val="B5EA02F7"/>
    <w:rsid w:val="B67BCA63"/>
    <w:rsid w:val="B6E58652"/>
    <w:rsid w:val="B7DDA99E"/>
    <w:rsid w:val="B7EFB0BE"/>
    <w:rsid w:val="B8178417"/>
    <w:rsid w:val="B9ECA0FD"/>
    <w:rsid w:val="B9F7F1F9"/>
    <w:rsid w:val="BA0F0829"/>
    <w:rsid w:val="BAFDC498"/>
    <w:rsid w:val="BBDD51A0"/>
    <w:rsid w:val="BDB990CF"/>
    <w:rsid w:val="BDDAFD55"/>
    <w:rsid w:val="BE72C05A"/>
    <w:rsid w:val="BE77A45D"/>
    <w:rsid w:val="BE7E4A02"/>
    <w:rsid w:val="BEADD351"/>
    <w:rsid w:val="BEDFD71E"/>
    <w:rsid w:val="BF5DAED3"/>
    <w:rsid w:val="BFBA578A"/>
    <w:rsid w:val="BFDFA142"/>
    <w:rsid w:val="BFEEC8A2"/>
    <w:rsid w:val="BFEF67D4"/>
    <w:rsid w:val="BFFBEC14"/>
    <w:rsid w:val="BFFF9E4D"/>
    <w:rsid w:val="BFFFA511"/>
    <w:rsid w:val="BFFFE3DA"/>
    <w:rsid w:val="C3DDCE64"/>
    <w:rsid w:val="C5D3877A"/>
    <w:rsid w:val="C5EA3A4D"/>
    <w:rsid w:val="CA3FA5ED"/>
    <w:rsid w:val="CB50B5BA"/>
    <w:rsid w:val="CB7BF750"/>
    <w:rsid w:val="CCA681F7"/>
    <w:rsid w:val="CD5A36B3"/>
    <w:rsid w:val="CD7F07D7"/>
    <w:rsid w:val="CDF76CAF"/>
    <w:rsid w:val="CE3E5A9E"/>
    <w:rsid w:val="CEFDC0D6"/>
    <w:rsid w:val="CF7F6BA7"/>
    <w:rsid w:val="D2B6881F"/>
    <w:rsid w:val="D3BD9A9B"/>
    <w:rsid w:val="D3F6E989"/>
    <w:rsid w:val="D6EFF796"/>
    <w:rsid w:val="D6FF0DE5"/>
    <w:rsid w:val="D7AF095B"/>
    <w:rsid w:val="D7EB2B39"/>
    <w:rsid w:val="D9BC0011"/>
    <w:rsid w:val="D9BCA9AB"/>
    <w:rsid w:val="DBDDBE58"/>
    <w:rsid w:val="DCADBB50"/>
    <w:rsid w:val="DD5E61D7"/>
    <w:rsid w:val="DD73E38E"/>
    <w:rsid w:val="DDF73E40"/>
    <w:rsid w:val="DE7C99E7"/>
    <w:rsid w:val="DEE7151A"/>
    <w:rsid w:val="DEFEFCF0"/>
    <w:rsid w:val="DEFF5CC7"/>
    <w:rsid w:val="DEFF73B7"/>
    <w:rsid w:val="DF37B469"/>
    <w:rsid w:val="DF3F1529"/>
    <w:rsid w:val="DF7B5C7C"/>
    <w:rsid w:val="DF8F9698"/>
    <w:rsid w:val="DFBEE1DD"/>
    <w:rsid w:val="DFEDA6F6"/>
    <w:rsid w:val="DFF71D87"/>
    <w:rsid w:val="DFFB455A"/>
    <w:rsid w:val="DFFF8076"/>
    <w:rsid w:val="DFFFA087"/>
    <w:rsid w:val="E39D076C"/>
    <w:rsid w:val="E3CF6AD8"/>
    <w:rsid w:val="E46D1EBD"/>
    <w:rsid w:val="E5EE6DC7"/>
    <w:rsid w:val="E72FB140"/>
    <w:rsid w:val="E7774F63"/>
    <w:rsid w:val="E7EFA097"/>
    <w:rsid w:val="E7FF2B4A"/>
    <w:rsid w:val="EAB4A0C9"/>
    <w:rsid w:val="EACFF69C"/>
    <w:rsid w:val="EADB03B8"/>
    <w:rsid w:val="EADD9B56"/>
    <w:rsid w:val="EB7EAF22"/>
    <w:rsid w:val="EBCB84C4"/>
    <w:rsid w:val="EDFA306B"/>
    <w:rsid w:val="EE75EBE6"/>
    <w:rsid w:val="EEB72C9C"/>
    <w:rsid w:val="EEC63877"/>
    <w:rsid w:val="EEFE5C04"/>
    <w:rsid w:val="EEFF841C"/>
    <w:rsid w:val="EF14368A"/>
    <w:rsid w:val="EF67674A"/>
    <w:rsid w:val="EF7B249F"/>
    <w:rsid w:val="EFB7EF1F"/>
    <w:rsid w:val="EFBF4017"/>
    <w:rsid w:val="EFBFCE5A"/>
    <w:rsid w:val="EFDDFFA2"/>
    <w:rsid w:val="EFFFCD40"/>
    <w:rsid w:val="F2F9A502"/>
    <w:rsid w:val="F31F9762"/>
    <w:rsid w:val="F37F3EC3"/>
    <w:rsid w:val="F39FB20C"/>
    <w:rsid w:val="F3B9B435"/>
    <w:rsid w:val="F5576EB9"/>
    <w:rsid w:val="F57FF4E8"/>
    <w:rsid w:val="F5AFAB5A"/>
    <w:rsid w:val="F6765079"/>
    <w:rsid w:val="F67E1795"/>
    <w:rsid w:val="F67F67E4"/>
    <w:rsid w:val="F6CF4003"/>
    <w:rsid w:val="F6FA47CB"/>
    <w:rsid w:val="F6FF1F57"/>
    <w:rsid w:val="F72F8E47"/>
    <w:rsid w:val="F75749DF"/>
    <w:rsid w:val="F757AB8A"/>
    <w:rsid w:val="F78D2436"/>
    <w:rsid w:val="F79E8295"/>
    <w:rsid w:val="F7BBB13B"/>
    <w:rsid w:val="F7BED937"/>
    <w:rsid w:val="F7EB3784"/>
    <w:rsid w:val="F7EF8DE5"/>
    <w:rsid w:val="F7FF50C7"/>
    <w:rsid w:val="F7FF813E"/>
    <w:rsid w:val="F8F30659"/>
    <w:rsid w:val="F9BE2D96"/>
    <w:rsid w:val="F9FDF34C"/>
    <w:rsid w:val="F9FF780A"/>
    <w:rsid w:val="FA18DA1B"/>
    <w:rsid w:val="FAA65292"/>
    <w:rsid w:val="FAE3D1F3"/>
    <w:rsid w:val="FAED169C"/>
    <w:rsid w:val="FAED7614"/>
    <w:rsid w:val="FB376CF5"/>
    <w:rsid w:val="FB75E917"/>
    <w:rsid w:val="FB7B953F"/>
    <w:rsid w:val="FB7F5469"/>
    <w:rsid w:val="FB92E77B"/>
    <w:rsid w:val="FBB951AA"/>
    <w:rsid w:val="FBCF28A7"/>
    <w:rsid w:val="FBCF2E0C"/>
    <w:rsid w:val="FBD55211"/>
    <w:rsid w:val="FBDBB8DF"/>
    <w:rsid w:val="FBF45C80"/>
    <w:rsid w:val="FBFE45D6"/>
    <w:rsid w:val="FBFEE4D6"/>
    <w:rsid w:val="FCD75FEA"/>
    <w:rsid w:val="FCDF3BBA"/>
    <w:rsid w:val="FCFC8482"/>
    <w:rsid w:val="FD2BD489"/>
    <w:rsid w:val="FD376322"/>
    <w:rsid w:val="FD3FD0E9"/>
    <w:rsid w:val="FD758431"/>
    <w:rsid w:val="FD7F9E41"/>
    <w:rsid w:val="FDA7C58A"/>
    <w:rsid w:val="FDCC678A"/>
    <w:rsid w:val="FDD734CC"/>
    <w:rsid w:val="FDDFC0D3"/>
    <w:rsid w:val="FDE7B98A"/>
    <w:rsid w:val="FDFD99B4"/>
    <w:rsid w:val="FDFF979E"/>
    <w:rsid w:val="FE4743EF"/>
    <w:rsid w:val="FE6AC30C"/>
    <w:rsid w:val="FE7C1106"/>
    <w:rsid w:val="FEBE22A1"/>
    <w:rsid w:val="FEDF3305"/>
    <w:rsid w:val="FEF7568B"/>
    <w:rsid w:val="FEFF27E3"/>
    <w:rsid w:val="FEFFBB10"/>
    <w:rsid w:val="FF1DE352"/>
    <w:rsid w:val="FF3675EC"/>
    <w:rsid w:val="FF3E7067"/>
    <w:rsid w:val="FF3F66BE"/>
    <w:rsid w:val="FF5B2EDF"/>
    <w:rsid w:val="FF5FCF53"/>
    <w:rsid w:val="FF5FF2DA"/>
    <w:rsid w:val="FF6DC089"/>
    <w:rsid w:val="FF6E1C0E"/>
    <w:rsid w:val="FF73747D"/>
    <w:rsid w:val="FF759FF1"/>
    <w:rsid w:val="FF760D34"/>
    <w:rsid w:val="FF7863FC"/>
    <w:rsid w:val="FF7DAC4F"/>
    <w:rsid w:val="FF7DDD5B"/>
    <w:rsid w:val="FF7FEC3C"/>
    <w:rsid w:val="FF966283"/>
    <w:rsid w:val="FF9F73ED"/>
    <w:rsid w:val="FFA7D90C"/>
    <w:rsid w:val="FFAF2AF4"/>
    <w:rsid w:val="FFB8DBB8"/>
    <w:rsid w:val="FFBD932A"/>
    <w:rsid w:val="FFBEF521"/>
    <w:rsid w:val="FFBF229B"/>
    <w:rsid w:val="FFD70F99"/>
    <w:rsid w:val="FFDCBC97"/>
    <w:rsid w:val="FFDF1FE2"/>
    <w:rsid w:val="FFEED664"/>
    <w:rsid w:val="FFF30643"/>
    <w:rsid w:val="FFF57650"/>
    <w:rsid w:val="FFF6AD8E"/>
    <w:rsid w:val="FFFA70CA"/>
    <w:rsid w:val="FFFF4D02"/>
    <w:rsid w:val="FFFFDEE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5">
    <w:name w:val="heading 3"/>
    <w:basedOn w:val="1"/>
    <w:next w:val="1"/>
    <w:qFormat/>
    <w:uiPriority w:val="0"/>
    <w:pPr>
      <w:keepNext/>
      <w:keepLines/>
      <w:spacing w:before="260" w:after="260" w:line="416" w:lineRule="auto"/>
      <w:outlineLvl w:val="2"/>
    </w:pPr>
    <w:rPr>
      <w:bCs/>
      <w:sz w:val="32"/>
      <w:szCs w:val="32"/>
    </w:rPr>
  </w:style>
  <w:style w:type="paragraph" w:styleId="6">
    <w:name w:val="heading 4"/>
    <w:basedOn w:val="1"/>
    <w:next w:val="1"/>
    <w:unhideWhenUsed/>
    <w:qFormat/>
    <w:uiPriority w:val="9"/>
    <w:pPr>
      <w:keepNext/>
      <w:keepLines/>
      <w:spacing w:before="280" w:after="290" w:line="376" w:lineRule="auto"/>
      <w:outlineLvl w:val="3"/>
    </w:pPr>
    <w:rPr>
      <w:rFonts w:ascii="Calibri Light" w:hAnsi="Calibri Light" w:eastAsia="黑体" w:cs="Times New Roman"/>
      <w:b/>
      <w:bCs/>
      <w:sz w:val="28"/>
      <w:szCs w:val="35"/>
    </w:rPr>
  </w:style>
  <w:style w:type="character" w:default="1" w:styleId="12">
    <w:name w:val="Default Paragraph Font"/>
    <w:link w:val="13"/>
    <w:unhideWhenUsed/>
    <w:qFormat/>
    <w:uiPriority w:val="1"/>
    <w:rPr>
      <w:rFonts w:ascii="Verdana" w:hAnsi="Verdana"/>
      <w:kern w:val="0"/>
      <w:sz w:val="20"/>
      <w:szCs w:val="20"/>
      <w:lang w:eastAsia="en-US"/>
    </w:rPr>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4"/>
    <w:unhideWhenUsed/>
    <w:qFormat/>
    <w:uiPriority w:val="0"/>
    <w:pPr>
      <w:spacing w:after="120"/>
      <w:ind w:left="420" w:leftChars="200"/>
    </w:pPr>
  </w:style>
  <w:style w:type="paragraph" w:styleId="4">
    <w:name w:val="Body Text"/>
    <w:basedOn w:val="1"/>
    <w:next w:val="1"/>
    <w:qFormat/>
    <w:uiPriority w:val="0"/>
    <w:pPr>
      <w:spacing w:before="0" w:after="140" w:line="276" w:lineRule="auto"/>
    </w:pPr>
  </w:style>
  <w:style w:type="paragraph" w:styleId="7">
    <w:name w:val="footer"/>
    <w:basedOn w:val="1"/>
    <w:unhideWhenUsed/>
    <w:qFormat/>
    <w:uiPriority w:val="0"/>
    <w:pPr>
      <w:tabs>
        <w:tab w:val="center" w:pos="4153"/>
        <w:tab w:val="right" w:pos="8306"/>
      </w:tabs>
      <w:snapToGrid w:val="0"/>
      <w:jc w:val="left"/>
    </w:pPr>
    <w:rPr>
      <w:sz w:val="18"/>
    </w:rPr>
  </w:style>
  <w:style w:type="paragraph" w:styleId="8">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9">
    <w:name w:val="Normal (Web)"/>
    <w:basedOn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SA"/>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Char"/>
    <w:basedOn w:val="1"/>
    <w:link w:val="12"/>
    <w:qFormat/>
    <w:uiPriority w:val="0"/>
    <w:pPr>
      <w:widowControl/>
      <w:spacing w:after="160" w:line="240" w:lineRule="exact"/>
      <w:jc w:val="left"/>
    </w:pPr>
    <w:rPr>
      <w:rFonts w:ascii="Verdana" w:hAnsi="Verdana"/>
      <w:kern w:val="0"/>
      <w:sz w:val="20"/>
      <w:szCs w:val="20"/>
      <w:lang w:eastAsia="en-US"/>
    </w:rPr>
  </w:style>
  <w:style w:type="character" w:styleId="14">
    <w:name w:val="Strong"/>
    <w:basedOn w:val="12"/>
    <w:qFormat/>
    <w:uiPriority w:val="22"/>
    <w:rPr>
      <w:b/>
    </w:rPr>
  </w:style>
  <w:style w:type="character" w:styleId="15">
    <w:name w:val="page number"/>
    <w:unhideWhenUsed/>
    <w:qFormat/>
    <w:uiPriority w:val="0"/>
    <w:rPr>
      <w:rFonts w:ascii="Tahoma" w:hAnsi="Tahoma"/>
      <w:sz w:val="24"/>
      <w:szCs w:val="20"/>
    </w:rPr>
  </w:style>
  <w:style w:type="character" w:styleId="16">
    <w:name w:val="Hyperlink"/>
    <w:basedOn w:val="12"/>
    <w:unhideWhenUsed/>
    <w:qFormat/>
    <w:uiPriority w:val="0"/>
    <w:rPr>
      <w:color w:val="0000FF"/>
      <w:u w:val="single"/>
    </w:rPr>
  </w:style>
  <w:style w:type="paragraph" w:customStyle="1" w:styleId="17">
    <w:name w:val="列出段落1"/>
    <w:basedOn w:val="1"/>
    <w:qFormat/>
    <w:uiPriority w:val="34"/>
    <w:pPr>
      <w:ind w:firstLine="420" w:firstLineChars="200"/>
    </w:pPr>
  </w:style>
  <w:style w:type="paragraph" w:customStyle="1" w:styleId="18">
    <w:name w:val="Default"/>
    <w:qFormat/>
    <w:uiPriority w:val="0"/>
    <w:pPr>
      <w:widowControl w:val="0"/>
      <w:autoSpaceDE w:val="0"/>
      <w:autoSpaceDN w:val="0"/>
      <w:adjustRightInd w:val="0"/>
    </w:pPr>
    <w:rPr>
      <w:rFonts w:ascii="方正小标宋简体" w:hAnsi="方正小标宋简体" w:eastAsia="等线" w:cs="方正小标宋简体"/>
      <w:color w:val="000000"/>
      <w:sz w:val="24"/>
      <w:szCs w:val="24"/>
      <w:lang w:val="en-US" w:eastAsia="zh-CN" w:bidi="ar-SA"/>
    </w:rPr>
  </w:style>
  <w:style w:type="character" w:customStyle="1" w:styleId="19">
    <w:name w:val="font51"/>
    <w:basedOn w:val="12"/>
    <w:qFormat/>
    <w:uiPriority w:val="0"/>
    <w:rPr>
      <w:rFonts w:hint="eastAsia" w:ascii="仿宋" w:hAnsi="仿宋" w:eastAsia="仿宋" w:cs="仿宋"/>
      <w:color w:val="auto"/>
      <w:sz w:val="28"/>
      <w:szCs w:val="28"/>
      <w:u w:val="none"/>
    </w:rPr>
  </w:style>
  <w:style w:type="paragraph" w:customStyle="1" w:styleId="20">
    <w:name w:val="WPS Plain"/>
    <w:unhideWhenUsed/>
    <w:qFormat/>
    <w:uiPriority w:val="0"/>
    <w:pPr>
      <w:spacing w:beforeLines="0" w:afterLines="0"/>
    </w:pPr>
    <w:rPr>
      <w:rFonts w:hint="default" w:ascii="Times New Roman" w:hAnsi="Times New Roman" w:eastAsia="宋体" w:cs="Times New Roman"/>
      <w:sz w:val="24"/>
      <w:szCs w:val="24"/>
    </w:rPr>
  </w:style>
  <w:style w:type="character" w:customStyle="1" w:styleId="21">
    <w:name w:val="15"/>
    <w:basedOn w:val="12"/>
    <w:qFormat/>
    <w:uiPriority w:val="0"/>
    <w:rPr>
      <w:rFonts w:hint="default" w:ascii="Calibri" w:hAnsi="Calibri" w:cs="Calibri"/>
    </w:rPr>
  </w:style>
  <w:style w:type="character" w:customStyle="1" w:styleId="22">
    <w:name w:val="fontstyle21"/>
    <w:basedOn w:val="12"/>
    <w:qFormat/>
    <w:uiPriority w:val="0"/>
    <w:rPr>
      <w:rFonts w:hint="default" w:ascii="FZFSK--GBK1-0" w:hAnsi="FZFSK--GBK1-0"/>
      <w:color w:val="000000"/>
      <w:sz w:val="30"/>
      <w:szCs w:val="3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595</Words>
  <Characters>3394</Characters>
  <Lines>28</Lines>
  <Paragraphs>7</Paragraphs>
  <TotalTime>20</TotalTime>
  <ScaleCrop>false</ScaleCrop>
  <LinksUpToDate>false</LinksUpToDate>
  <CharactersWithSpaces>0</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2019-02-02T02:37:00Z</dcterms:created>
  <dc:creator>asus</dc:creator>
  <cp:lastModifiedBy>thtf</cp:lastModifiedBy>
  <cp:lastPrinted>2023-12-28T07:26:00Z</cp:lastPrinted>
  <dcterms:modified xsi:type="dcterms:W3CDTF">2023-12-27T17:04:49Z</dcterms:modified>
  <dc:title>中共内蒙古自治区委员会 自治区人民政府</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